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fill="FFFFFF"/>
        <w:spacing w:before="0" w:after="0"/>
        <w:jc w:val="center"/>
        <w:rPr>
          <w:rFonts w:ascii="Arial" w:hAnsi="Arial" w:eastAsia="Arial" w:cs="Arial"/>
          <w:b/>
          <w:sz w:val="28"/>
          <w:szCs w:val="28"/>
        </w:rPr>
      </w:pPr>
      <w:r>
        <w:rPr>
          <w:rFonts w:ascii="Arial" w:hAnsi="Arial" w:eastAsia="Arial" w:cs="Arial"/>
          <w:b/>
          <w:sz w:val="28"/>
          <w:szCs w:val="28"/>
        </w:rPr>
        <w:t>POLÍTICA DE DISTRIBUIÇÃO DE DIVIDENDOS</w:t>
      </w:r>
    </w:p>
    <w:p>
      <w:pPr>
        <w:shd w:val="clear" w:fill="FFFFFF"/>
        <w:spacing w:before="0" w:after="0"/>
        <w:jc w:val="center"/>
        <w:rPr>
          <w:rFonts w:ascii="Arial" w:hAnsi="Arial" w:eastAsia="Arial" w:cs="Arial"/>
          <w:b/>
          <w:sz w:val="28"/>
          <w:szCs w:val="28"/>
        </w:rPr>
      </w:pPr>
    </w:p>
    <w:p>
      <w:pPr>
        <w:shd w:val="clear" w:fill="FFFFFF"/>
        <w:spacing w:before="0" w:after="0"/>
        <w:jc w:val="center"/>
        <w:rPr>
          <w:rFonts w:ascii="Arial" w:hAnsi="Arial" w:eastAsia="Arial" w:cs="Arial"/>
          <w:b/>
          <w:sz w:val="28"/>
          <w:szCs w:val="28"/>
        </w:rPr>
      </w:pPr>
    </w:p>
    <w:p>
      <w:pPr>
        <w:shd w:val="clear" w:fill="FFFFFF"/>
        <w:spacing w:before="0" w:after="0"/>
        <w:ind w:left="-566" w:right="0" w:firstLine="0"/>
        <w:jc w:val="center"/>
        <w:rPr>
          <w:rFonts w:ascii="Arial" w:hAnsi="Arial" w:eastAsia="Arial" w:cs="Arial"/>
          <w:b/>
          <w:sz w:val="28"/>
          <w:szCs w:val="28"/>
        </w:rPr>
      </w:pPr>
    </w:p>
    <w:p>
      <w:pPr>
        <w:shd w:val="clear" w:fill="FFFFFF"/>
        <w:spacing w:before="0" w:after="0"/>
        <w:jc w:val="both"/>
      </w:pPr>
      <w:r>
        <w:rPr>
          <w:rFonts w:ascii="Arial" w:hAnsi="Arial" w:eastAsia="Arial" w:cs="Arial"/>
        </w:rPr>
        <w:t xml:space="preserve">Este documento teve por referência os Modelos disponibilizados pelo </w:t>
      </w:r>
      <w:r>
        <w:rPr>
          <w:rFonts w:ascii="Arial" w:hAnsi="Arial" w:eastAsia="Arial" w:cs="Arial"/>
          <w:color w:val="00000A"/>
        </w:rPr>
        <w:t>Ministério da Economia</w:t>
      </w:r>
      <w:r>
        <w:rPr>
          <w:rFonts w:ascii="Arial" w:hAnsi="Arial" w:eastAsia="Arial" w:cs="Arial"/>
        </w:rPr>
        <w:t xml:space="preserve"> e pela Controladoria de Santa Catarina, sendo este último definido como referencial às Controladorias de todo o Brasil em entendimento à deliberação proferida na 26</w:t>
      </w:r>
      <w:r>
        <w:rPr>
          <w:rFonts w:ascii="Arial" w:hAnsi="Arial" w:eastAsia="Arial" w:cs="Arial"/>
          <w:vertAlign w:val="superscript"/>
        </w:rPr>
        <w:t>a</w:t>
      </w:r>
      <w:r>
        <w:rPr>
          <w:rFonts w:ascii="Arial" w:hAnsi="Arial" w:eastAsia="Arial" w:cs="Arial"/>
        </w:rPr>
        <w:t xml:space="preserve"> Reunião Técnica do CONACI (Conselho Nacional de Controle Interno), ocorrido em 12 e 13 de abril de 2018, em Recife/PE.</w:t>
      </w:r>
    </w:p>
    <w:p>
      <w:pPr>
        <w:shd w:val="clear" w:fill="FFFFFF"/>
        <w:tabs>
          <w:tab w:val="left" w:pos="1636"/>
        </w:tabs>
        <w:spacing w:before="120" w:after="120" w:line="360" w:lineRule="auto"/>
        <w:jc w:val="both"/>
        <w:rPr>
          <w:rFonts w:ascii="Arial" w:hAnsi="Arial" w:eastAsia="Arial" w:cs="Arial"/>
        </w:rPr>
      </w:pPr>
    </w:p>
    <w:p>
      <w:pPr>
        <w:spacing w:before="120" w:after="120" w:line="360" w:lineRule="auto"/>
        <w:jc w:val="both"/>
      </w:pPr>
      <w:r>
        <w:rPr>
          <w:rFonts w:ascii="Arial" w:hAnsi="Arial" w:eastAsia="Arial" w:cs="Arial"/>
          <w:b/>
        </w:rPr>
        <w:t>Objetivo:</w:t>
      </w:r>
      <w:r>
        <w:rPr>
          <w:rFonts w:ascii="Arial" w:hAnsi="Arial" w:eastAsia="Arial" w:cs="Arial"/>
        </w:rPr>
        <w:t xml:space="preserve"> Descrever a política de distribuição de dividendos, à luz do interesse público que justificou a criação da empresa pública ou da sociedade de economia mista.</w:t>
      </w:r>
    </w:p>
    <w:p>
      <w:pPr>
        <w:keepNext/>
        <w:keepLines w:val="0"/>
        <w:widowControl w:val="0"/>
        <w:pBdr>
          <w:top w:val="none" w:color="auto" w:sz="0" w:space="0"/>
          <w:left w:val="none" w:color="auto" w:sz="0" w:space="0"/>
          <w:bottom w:val="none" w:color="auto" w:sz="0" w:space="0"/>
          <w:right w:val="none" w:color="auto" w:sz="0" w:space="0"/>
          <w:between w:val="none" w:color="auto" w:sz="0" w:space="0"/>
        </w:pBdr>
        <w:shd w:val="clear" w:fill="FFFFFF"/>
        <w:spacing w:before="120" w:after="120" w:line="360" w:lineRule="auto"/>
        <w:ind w:left="0" w:right="0" w:firstLine="0"/>
        <w:jc w:val="both"/>
        <w:rPr>
          <w:rFonts w:ascii="Arial" w:hAnsi="Arial" w:eastAsia="Arial" w:cs="Arial"/>
        </w:rPr>
      </w:pPr>
      <w:r>
        <w:rPr>
          <w:rFonts w:ascii="Arial" w:hAnsi="Arial" w:eastAsia="Arial" w:cs="Arial"/>
          <w:b/>
        </w:rPr>
        <w:t xml:space="preserve">Base Legal: </w:t>
      </w:r>
      <w:r>
        <w:rPr>
          <w:rFonts w:ascii="Arial" w:hAnsi="Arial" w:eastAsia="Arial" w:cs="Arial"/>
        </w:rPr>
        <w:t>Lei Federal nº 13.303/2016, Art. 8º, Inciso V.</w:t>
      </w:r>
    </w:p>
    <w:p>
      <w:pPr>
        <w:shd w:val="clear" w:fill="FFFFFF"/>
        <w:tabs>
          <w:tab w:val="left" w:pos="1636"/>
        </w:tabs>
        <w:spacing w:before="120" w:after="120" w:line="360" w:lineRule="auto"/>
        <w:jc w:val="both"/>
      </w:pPr>
      <w:r>
        <w:rPr>
          <w:rFonts w:ascii="Arial" w:hAnsi="Arial" w:eastAsia="Arial" w:cs="Arial"/>
          <w:b/>
          <w:i w:val="0"/>
          <w:color w:val="000000"/>
        </w:rPr>
        <w:t xml:space="preserve">Responsável: </w:t>
      </w:r>
      <w:r>
        <w:rPr>
          <w:rFonts w:ascii="Arial" w:hAnsi="Arial" w:eastAsia="Arial" w:cs="Arial"/>
          <w:b w:val="0"/>
          <w:i w:val="0"/>
          <w:color w:val="000000"/>
        </w:rPr>
        <w:t>Conselho de Administração</w:t>
      </w:r>
    </w:p>
    <w:p>
      <w:pPr>
        <w:widowControl/>
        <w:tabs>
          <w:tab w:val="left" w:pos="1636"/>
        </w:tabs>
        <w:spacing w:before="120" w:after="120" w:line="360" w:lineRule="auto"/>
        <w:jc w:val="both"/>
        <w:rPr>
          <w:rFonts w:ascii="Arial" w:hAnsi="Arial" w:eastAsia="Arial" w:cs="Arial"/>
          <w:color w:val="222222"/>
        </w:rPr>
      </w:pPr>
      <w:r>
        <w:rPr>
          <w:rFonts w:ascii="Arial" w:hAnsi="Arial" w:eastAsia="Arial" w:cs="Arial"/>
          <w:b/>
        </w:rPr>
        <w:t>Observação</w:t>
      </w:r>
      <w:r>
        <w:rPr>
          <w:rFonts w:ascii="Arial" w:hAnsi="Arial" w:eastAsia="Arial" w:cs="Arial"/>
        </w:rPr>
        <w:t>: Incluir a vigência do documento.</w:t>
      </w:r>
    </w:p>
    <w:p>
      <w:pPr>
        <w:shd w:val="clear" w:fill="FFFFFF"/>
        <w:tabs>
          <w:tab w:val="left" w:pos="1636"/>
        </w:tabs>
        <w:spacing w:before="120" w:after="120" w:line="360" w:lineRule="auto"/>
        <w:jc w:val="both"/>
        <w:rPr>
          <w:rFonts w:ascii="Arial" w:hAnsi="Arial" w:eastAsia="Arial" w:cs="Arial"/>
        </w:rPr>
      </w:pPr>
    </w:p>
    <w:p>
      <w:pPr>
        <w:pStyle w:val="2"/>
        <w:spacing w:before="120" w:after="120" w:line="360" w:lineRule="auto"/>
        <w:ind w:left="1080" w:right="0" w:firstLine="0"/>
        <w:jc w:val="both"/>
        <w:rPr>
          <w:sz w:val="24"/>
          <w:szCs w:val="24"/>
        </w:rPr>
      </w:pPr>
      <w:bookmarkStart w:id="0" w:name="_gjdgxs" w:colFirst="0" w:colLast="0"/>
      <w:bookmarkEnd w:id="0"/>
      <w:r>
        <w:br w:type="page"/>
      </w:r>
    </w:p>
    <w:p>
      <w:pPr>
        <w:pStyle w:val="2"/>
        <w:numPr>
          <w:ilvl w:val="0"/>
          <w:numId w:val="1"/>
        </w:numPr>
        <w:spacing w:before="120" w:after="120" w:line="360" w:lineRule="auto"/>
        <w:ind w:left="0" w:right="0" w:firstLine="0"/>
        <w:jc w:val="both"/>
        <w:rPr>
          <w:sz w:val="24"/>
          <w:szCs w:val="24"/>
        </w:rPr>
      </w:pPr>
      <w:bookmarkStart w:id="1" w:name="_ntvvv98q7oma" w:colFirst="0" w:colLast="0"/>
      <w:bookmarkEnd w:id="1"/>
      <w:r>
        <w:rPr>
          <w:sz w:val="24"/>
          <w:szCs w:val="24"/>
        </w:rPr>
        <w:t>FINALIDADE</w:t>
      </w:r>
    </w:p>
    <w:p>
      <w:pPr>
        <w:keepNext/>
        <w:keepLines w:val="0"/>
        <w:widowControl/>
        <w:shd w:val="clear" w:fill="FFFFFF"/>
        <w:spacing w:before="120" w:after="120" w:line="360" w:lineRule="auto"/>
        <w:ind w:left="0" w:right="0" w:firstLine="709"/>
        <w:jc w:val="both"/>
        <w:rPr>
          <w:rFonts w:ascii="Arial" w:hAnsi="Arial" w:eastAsia="Arial" w:cs="Arial"/>
          <w:b w:val="0"/>
          <w:i w:val="0"/>
          <w:smallCaps w:val="0"/>
          <w:strike w:val="0"/>
          <w:color w:val="000000"/>
          <w:sz w:val="24"/>
          <w:szCs w:val="24"/>
          <w:u w:val="none"/>
          <w:vertAlign w:val="baseline"/>
        </w:rPr>
      </w:pPr>
      <w:r>
        <w:rPr>
          <w:rFonts w:ascii="Arial" w:hAnsi="Arial" w:eastAsia="Arial" w:cs="Arial"/>
          <w:b w:val="0"/>
          <w:i w:val="0"/>
          <w:smallCaps w:val="0"/>
          <w:strike w:val="0"/>
          <w:color w:val="000000"/>
          <w:sz w:val="24"/>
          <w:szCs w:val="24"/>
          <w:u w:val="none"/>
          <w:vertAlign w:val="baseline"/>
        </w:rPr>
        <w:t>Descrever que a presente Política de Distribuição de Dividendos tem como finalidade estabelecer as práticas de destinação do lucro líquido da Companhia, apresentando os parâmetros de remuneração de seus acionistas com máximo de transparência, alinhada às melhores práticas de gestão e de relacionamento com seus investidores.</w:t>
      </w:r>
    </w:p>
    <w:p>
      <w:pPr>
        <w:pStyle w:val="2"/>
        <w:numPr>
          <w:ilvl w:val="0"/>
          <w:numId w:val="1"/>
        </w:numPr>
        <w:spacing w:before="120" w:after="120" w:line="360" w:lineRule="auto"/>
        <w:ind w:left="0" w:right="0" w:firstLine="0"/>
        <w:jc w:val="both"/>
        <w:rPr>
          <w:b/>
          <w:sz w:val="24"/>
          <w:szCs w:val="24"/>
        </w:rPr>
      </w:pPr>
      <w:bookmarkStart w:id="2" w:name="_30j0zll" w:colFirst="0" w:colLast="0"/>
      <w:bookmarkEnd w:id="2"/>
      <w:r>
        <w:rPr>
          <w:b/>
          <w:sz w:val="24"/>
          <w:szCs w:val="24"/>
        </w:rPr>
        <w:t xml:space="preserve">ABRANGÊNCIA </w:t>
      </w:r>
    </w:p>
    <w:p>
      <w:pPr>
        <w:keepNext/>
        <w:keepLines w:val="0"/>
        <w:widowControl/>
        <w:shd w:val="clear" w:fill="FFFFFF"/>
        <w:spacing w:before="120" w:after="120" w:line="360" w:lineRule="auto"/>
        <w:ind w:left="0" w:right="0" w:firstLine="709"/>
        <w:jc w:val="both"/>
        <w:rPr>
          <w:rFonts w:ascii="Arial" w:hAnsi="Arial" w:eastAsia="Arial" w:cs="Arial"/>
          <w:b w:val="0"/>
          <w:i w:val="0"/>
          <w:smallCaps w:val="0"/>
          <w:strike w:val="0"/>
          <w:color w:val="000000"/>
          <w:sz w:val="24"/>
          <w:szCs w:val="24"/>
          <w:u w:val="none"/>
          <w:vertAlign w:val="baseline"/>
        </w:rPr>
      </w:pPr>
      <w:r>
        <w:rPr>
          <w:rFonts w:ascii="Arial" w:hAnsi="Arial" w:eastAsia="Arial" w:cs="Arial"/>
          <w:b w:val="0"/>
          <w:i w:val="0"/>
          <w:smallCaps w:val="0"/>
          <w:strike w:val="0"/>
          <w:color w:val="000000"/>
          <w:sz w:val="24"/>
          <w:szCs w:val="24"/>
          <w:u w:val="none"/>
          <w:vertAlign w:val="baseline"/>
        </w:rPr>
        <w:t xml:space="preserve">Descrever a quem essa política se aplica: </w:t>
      </w:r>
    </w:p>
    <w:p>
      <w:pPr>
        <w:keepNext/>
        <w:keepLines w:val="0"/>
        <w:widowControl/>
        <w:numPr>
          <w:ilvl w:val="0"/>
          <w:numId w:val="2"/>
        </w:numPr>
        <w:shd w:val="clear" w:fill="FFFFFF"/>
        <w:spacing w:before="120" w:after="120" w:line="360" w:lineRule="auto"/>
        <w:ind w:left="0" w:right="0" w:firstLine="855"/>
        <w:jc w:val="both"/>
      </w:pPr>
      <w:r>
        <w:rPr>
          <w:rFonts w:ascii="Arial" w:hAnsi="Arial" w:eastAsia="Arial" w:cs="Arial"/>
        </w:rPr>
        <w:t xml:space="preserve"> </w:t>
      </w:r>
      <w:r>
        <w:rPr>
          <w:rFonts w:ascii="Arial" w:hAnsi="Arial" w:eastAsia="Arial" w:cs="Arial"/>
          <w:b w:val="0"/>
          <w:i w:val="0"/>
          <w:smallCaps w:val="0"/>
          <w:strike w:val="0"/>
          <w:color w:val="000000"/>
          <w:sz w:val="24"/>
          <w:szCs w:val="24"/>
          <w:u w:val="none"/>
          <w:vertAlign w:val="baseline"/>
        </w:rPr>
        <w:t>[Razão Social]</w:t>
      </w:r>
      <w:r>
        <w:rPr>
          <w:rFonts w:ascii="Arial" w:hAnsi="Arial" w:eastAsia="Arial" w:cs="Arial"/>
        </w:rPr>
        <w:t>;</w:t>
      </w:r>
    </w:p>
    <w:p>
      <w:pPr>
        <w:keepNext/>
        <w:keepLines w:val="0"/>
        <w:widowControl/>
        <w:numPr>
          <w:ilvl w:val="0"/>
          <w:numId w:val="2"/>
        </w:numPr>
        <w:shd w:val="clear" w:fill="FFFFFF"/>
        <w:spacing w:before="120" w:after="120" w:line="360" w:lineRule="auto"/>
        <w:ind w:left="0" w:right="0" w:firstLine="855"/>
        <w:jc w:val="both"/>
        <w:rPr>
          <w:rFonts w:ascii="Arial" w:hAnsi="Arial" w:eastAsia="Arial" w:cs="Arial"/>
          <w:b w:val="0"/>
          <w:i w:val="0"/>
          <w:smallCaps w:val="0"/>
          <w:strike w:val="0"/>
          <w:color w:val="000000"/>
          <w:sz w:val="24"/>
          <w:szCs w:val="24"/>
          <w:u w:val="none"/>
          <w:vertAlign w:val="baseline"/>
        </w:rPr>
      </w:pPr>
      <w:r>
        <w:rPr>
          <w:rFonts w:ascii="Arial" w:hAnsi="Arial" w:eastAsia="Arial" w:cs="Arial"/>
          <w:b w:val="0"/>
          <w:i w:val="0"/>
          <w:smallCaps w:val="0"/>
          <w:strike w:val="0"/>
          <w:color w:val="000000"/>
          <w:sz w:val="24"/>
          <w:szCs w:val="24"/>
          <w:u w:val="none"/>
          <w:vertAlign w:val="baseline"/>
        </w:rPr>
        <w:t>[Razão Social subsidiária – se aplicável].</w:t>
      </w:r>
    </w:p>
    <w:p>
      <w:pPr>
        <w:pStyle w:val="2"/>
        <w:numPr>
          <w:ilvl w:val="0"/>
          <w:numId w:val="1"/>
        </w:numPr>
        <w:spacing w:before="120" w:after="120" w:line="360" w:lineRule="auto"/>
        <w:ind w:left="0" w:right="0" w:firstLine="0"/>
        <w:jc w:val="both"/>
        <w:rPr>
          <w:b/>
          <w:sz w:val="24"/>
          <w:szCs w:val="24"/>
        </w:rPr>
      </w:pPr>
      <w:bookmarkStart w:id="3" w:name="_1fob9te" w:colFirst="0" w:colLast="0"/>
      <w:bookmarkEnd w:id="3"/>
      <w:r>
        <w:rPr>
          <w:b/>
          <w:sz w:val="24"/>
          <w:szCs w:val="24"/>
        </w:rPr>
        <w:t xml:space="preserve">DISTRIBUIÇÃO DE DIVIDENDOS </w:t>
      </w:r>
    </w:p>
    <w:p>
      <w:pPr>
        <w:keepNext/>
        <w:keepLines w:val="0"/>
        <w:widowControl/>
        <w:shd w:val="clear" w:fill="FFFFFF"/>
        <w:spacing w:before="120" w:after="120" w:line="360" w:lineRule="auto"/>
        <w:ind w:left="0" w:right="0" w:firstLine="709"/>
        <w:jc w:val="both"/>
      </w:pPr>
      <w:r>
        <w:rPr>
          <w:rFonts w:ascii="Arial" w:hAnsi="Arial" w:eastAsia="Arial" w:cs="Arial"/>
          <w:b w:val="0"/>
          <w:i w:val="0"/>
          <w:smallCaps w:val="0"/>
          <w:strike w:val="0"/>
          <w:color w:val="000000"/>
          <w:sz w:val="24"/>
          <w:szCs w:val="24"/>
          <w:u w:val="none"/>
          <w:vertAlign w:val="baseline"/>
        </w:rPr>
        <w:t>Descrever as regras e condições de distribuição de dividendos, devendo seguir preferencialmente a Lei nº 6.404</w:t>
      </w:r>
      <w:r>
        <w:rPr>
          <w:rFonts w:ascii="Arial" w:hAnsi="Arial" w:eastAsia="Arial" w:cs="Arial"/>
        </w:rPr>
        <w:t>/</w:t>
      </w:r>
      <w:r>
        <w:rPr>
          <w:rFonts w:ascii="Arial" w:hAnsi="Arial" w:eastAsia="Arial" w:cs="Arial"/>
          <w:b w:val="0"/>
          <w:i w:val="0"/>
          <w:smallCaps w:val="0"/>
          <w:strike w:val="0"/>
          <w:color w:val="000000"/>
          <w:sz w:val="24"/>
          <w:szCs w:val="24"/>
          <w:u w:val="none"/>
          <w:vertAlign w:val="baseline"/>
        </w:rPr>
        <w:t>76 (Lei das Sociedades Anônimas), com o dividendo mínimo obrigatório fixado neste documento, podendo também constar no estatuto ou outros documentos internos, apurados na forma da lei. Podendo ser imputados a esse, também o pagamento de juros sobre capital próprio.</w:t>
      </w:r>
    </w:p>
    <w:p>
      <w:pPr>
        <w:pStyle w:val="2"/>
        <w:numPr>
          <w:ilvl w:val="0"/>
          <w:numId w:val="1"/>
        </w:numPr>
        <w:spacing w:before="120" w:after="120" w:line="360" w:lineRule="auto"/>
        <w:ind w:left="709" w:right="0" w:hanging="709"/>
        <w:jc w:val="both"/>
        <w:rPr>
          <w:b/>
          <w:sz w:val="24"/>
          <w:szCs w:val="24"/>
        </w:rPr>
      </w:pPr>
      <w:bookmarkStart w:id="4" w:name="_3znysh7" w:colFirst="0" w:colLast="0"/>
      <w:bookmarkEnd w:id="4"/>
      <w:r>
        <w:rPr>
          <w:b/>
          <w:sz w:val="24"/>
          <w:szCs w:val="24"/>
        </w:rPr>
        <w:t>DOS DIVIDENDOS INTERMEDIÁRIOS (se houver)</w:t>
      </w:r>
    </w:p>
    <w:p>
      <w:pPr>
        <w:keepNext/>
        <w:keepLines w:val="0"/>
        <w:widowControl/>
        <w:shd w:val="clear" w:fill="FFFFFF"/>
        <w:spacing w:before="120" w:after="120" w:line="360" w:lineRule="auto"/>
        <w:ind w:left="0" w:right="0" w:firstLine="709"/>
        <w:jc w:val="both"/>
        <w:rPr>
          <w:rFonts w:ascii="Arial" w:hAnsi="Arial" w:eastAsia="Arial" w:cs="Arial"/>
          <w:b w:val="0"/>
          <w:i w:val="0"/>
          <w:smallCaps w:val="0"/>
          <w:strike w:val="0"/>
          <w:color w:val="000000"/>
          <w:sz w:val="24"/>
          <w:szCs w:val="24"/>
          <w:u w:val="none"/>
          <w:vertAlign w:val="baseline"/>
        </w:rPr>
      </w:pPr>
      <w:r>
        <w:rPr>
          <w:rFonts w:ascii="Arial" w:hAnsi="Arial" w:eastAsia="Arial" w:cs="Arial"/>
          <w:b w:val="0"/>
          <w:i w:val="0"/>
          <w:smallCaps w:val="0"/>
          <w:strike w:val="0"/>
          <w:color w:val="000000"/>
          <w:sz w:val="24"/>
          <w:szCs w:val="24"/>
          <w:u w:val="none"/>
          <w:vertAlign w:val="baseline"/>
        </w:rPr>
        <w:t>Descrever outras regras que o Conselho de Administração poderá ter para declarar dividendos intermediários, a título de juros sobre o capital próprio, à conta de lucros acumulados, de reservas de lucros ou de lucros apurados em balanços semestrais ou intermediários.</w:t>
      </w:r>
    </w:p>
    <w:p>
      <w:pPr>
        <w:pStyle w:val="2"/>
        <w:numPr>
          <w:ilvl w:val="0"/>
          <w:numId w:val="1"/>
        </w:numPr>
        <w:spacing w:before="0" w:after="120" w:line="360" w:lineRule="auto"/>
        <w:ind w:left="709" w:right="0" w:hanging="709"/>
        <w:jc w:val="both"/>
        <w:rPr>
          <w:sz w:val="24"/>
          <w:szCs w:val="24"/>
        </w:rPr>
      </w:pPr>
      <w:r>
        <w:rPr>
          <w:sz w:val="24"/>
          <w:szCs w:val="24"/>
        </w:rPr>
        <w:t>DA NECESSIDADE DE APROVAÇÃO</w:t>
      </w:r>
    </w:p>
    <w:p>
      <w:pPr>
        <w:keepNext/>
        <w:keepLines w:val="0"/>
        <w:widowControl/>
        <w:shd w:val="clear" w:fill="FFFFFF"/>
        <w:spacing w:before="120" w:after="120" w:line="360" w:lineRule="auto"/>
        <w:ind w:left="0" w:right="0" w:firstLine="709"/>
        <w:jc w:val="both"/>
        <w:rPr>
          <w:rFonts w:ascii="Arial" w:hAnsi="Arial" w:eastAsia="Arial" w:cs="Arial"/>
          <w:b w:val="0"/>
          <w:i w:val="0"/>
          <w:smallCaps w:val="0"/>
          <w:strike w:val="0"/>
          <w:color w:val="000000"/>
          <w:sz w:val="24"/>
          <w:szCs w:val="24"/>
          <w:u w:val="none"/>
          <w:vertAlign w:val="baseline"/>
        </w:rPr>
      </w:pPr>
      <w:r>
        <w:rPr>
          <w:rFonts w:ascii="Arial" w:hAnsi="Arial" w:eastAsia="Arial" w:cs="Arial"/>
          <w:b w:val="0"/>
          <w:i w:val="0"/>
          <w:smallCaps w:val="0"/>
          <w:strike w:val="0"/>
          <w:color w:val="000000"/>
          <w:sz w:val="24"/>
          <w:szCs w:val="24"/>
          <w:u w:val="none"/>
          <w:vertAlign w:val="baseline"/>
        </w:rPr>
        <w:t>Informar que a declaração de dividendos anuais, inclusive dividendos em valor superior à distribuição obrigatória, exige aprovação em Assembleia Geral pelo voto da maioria dos detentores das Ações Ordinárias.</w:t>
      </w:r>
    </w:p>
    <w:p>
      <w:pPr>
        <w:keepNext/>
        <w:keepLines w:val="0"/>
        <w:widowControl/>
        <w:shd w:val="clear" w:fill="FFFFFF"/>
        <w:spacing w:before="120" w:after="120" w:line="360" w:lineRule="auto"/>
        <w:ind w:left="0" w:right="0" w:firstLine="709"/>
        <w:jc w:val="both"/>
        <w:rPr>
          <w:rFonts w:ascii="Arial" w:hAnsi="Arial" w:eastAsia="Arial" w:cs="Arial"/>
          <w:b w:val="0"/>
          <w:i w:val="0"/>
          <w:smallCaps w:val="0"/>
          <w:strike w:val="0"/>
          <w:color w:val="000000"/>
          <w:sz w:val="24"/>
          <w:szCs w:val="24"/>
          <w:u w:val="none"/>
          <w:vertAlign w:val="baseline"/>
        </w:rPr>
      </w:pPr>
    </w:p>
    <w:p>
      <w:pPr>
        <w:keepNext/>
        <w:keepLines w:val="0"/>
        <w:widowControl/>
        <w:shd w:val="clear" w:fill="FFFFFF"/>
        <w:spacing w:before="120" w:after="120" w:line="360" w:lineRule="auto"/>
        <w:ind w:left="0" w:right="0" w:firstLine="709"/>
        <w:jc w:val="both"/>
        <w:rPr>
          <w:rFonts w:ascii="Arial" w:hAnsi="Arial" w:eastAsia="Arial" w:cs="Arial"/>
          <w:b w:val="0"/>
          <w:i w:val="0"/>
          <w:smallCaps w:val="0"/>
          <w:strike w:val="0"/>
          <w:color w:val="000000"/>
          <w:sz w:val="24"/>
          <w:szCs w:val="24"/>
          <w:u w:val="none"/>
          <w:vertAlign w:val="baseline"/>
        </w:rPr>
      </w:pPr>
      <w:bookmarkStart w:id="6" w:name="_GoBack"/>
      <w:bookmarkEnd w:id="6"/>
    </w:p>
    <w:p>
      <w:pPr>
        <w:pStyle w:val="2"/>
        <w:numPr>
          <w:ilvl w:val="0"/>
          <w:numId w:val="1"/>
        </w:numPr>
        <w:spacing w:before="120" w:after="120" w:line="360" w:lineRule="auto"/>
        <w:ind w:left="709" w:right="0" w:hanging="709"/>
        <w:jc w:val="both"/>
        <w:rPr>
          <w:sz w:val="24"/>
          <w:szCs w:val="24"/>
        </w:rPr>
      </w:pPr>
      <w:r>
        <w:rPr>
          <w:sz w:val="24"/>
          <w:szCs w:val="24"/>
        </w:rPr>
        <w:t>DO PAGAMENTO</w:t>
      </w:r>
    </w:p>
    <w:p>
      <w:pPr>
        <w:keepNext/>
        <w:keepLines w:val="0"/>
        <w:widowControl/>
        <w:shd w:val="clear" w:fill="FFFFFF"/>
        <w:spacing w:before="120" w:after="120" w:line="360" w:lineRule="auto"/>
        <w:ind w:left="0" w:right="0" w:firstLine="709"/>
        <w:jc w:val="both"/>
        <w:rPr>
          <w:rFonts w:ascii="Arial" w:hAnsi="Arial" w:eastAsia="Arial" w:cs="Arial"/>
          <w:b w:val="0"/>
          <w:i w:val="0"/>
          <w:smallCaps w:val="0"/>
          <w:strike w:val="0"/>
          <w:color w:val="000000"/>
          <w:sz w:val="24"/>
          <w:szCs w:val="24"/>
          <w:u w:val="none"/>
          <w:vertAlign w:val="baseline"/>
        </w:rPr>
      </w:pPr>
      <w:r>
        <w:rPr>
          <w:rFonts w:ascii="Arial" w:hAnsi="Arial" w:eastAsia="Arial" w:cs="Arial"/>
          <w:b w:val="0"/>
          <w:i w:val="0"/>
          <w:smallCaps w:val="0"/>
          <w:strike w:val="0"/>
          <w:color w:val="000000"/>
          <w:sz w:val="24"/>
          <w:szCs w:val="24"/>
          <w:u w:val="none"/>
          <w:vertAlign w:val="baseline"/>
        </w:rPr>
        <w:t xml:space="preserve">Descrever regras e prazos para pagamento dos dividendos declarados, obrigatórios ou extraordinários, cabendo à Diretoria, observados estes prazos, determinar os locais e processos de pagamento. </w:t>
      </w:r>
    </w:p>
    <w:p>
      <w:pPr>
        <w:pStyle w:val="2"/>
        <w:numPr>
          <w:ilvl w:val="0"/>
          <w:numId w:val="1"/>
        </w:numPr>
        <w:spacing w:before="120" w:after="120" w:line="360" w:lineRule="auto"/>
        <w:ind w:left="709" w:right="0" w:hanging="709"/>
        <w:jc w:val="both"/>
        <w:rPr>
          <w:b/>
          <w:sz w:val="24"/>
          <w:szCs w:val="24"/>
        </w:rPr>
      </w:pPr>
      <w:r>
        <w:rPr>
          <w:b/>
          <w:sz w:val="24"/>
          <w:szCs w:val="24"/>
        </w:rPr>
        <w:t>DO PRAZO DE RECLAMAÇÃO</w:t>
      </w:r>
    </w:p>
    <w:p>
      <w:pPr>
        <w:keepNext/>
        <w:keepLines w:val="0"/>
        <w:widowControl/>
        <w:shd w:val="clear" w:fill="FFFFFF"/>
        <w:spacing w:before="63" w:after="63" w:line="360" w:lineRule="auto"/>
        <w:ind w:left="0" w:right="0" w:firstLine="709"/>
        <w:jc w:val="both"/>
        <w:rPr>
          <w:rFonts w:ascii="Arial" w:hAnsi="Arial" w:eastAsia="Arial" w:cs="Arial"/>
          <w:b w:val="0"/>
          <w:i w:val="0"/>
          <w:smallCaps w:val="0"/>
          <w:strike w:val="0"/>
          <w:color w:val="000000"/>
          <w:sz w:val="24"/>
          <w:szCs w:val="24"/>
          <w:u w:val="none"/>
          <w:vertAlign w:val="baseline"/>
        </w:rPr>
      </w:pPr>
      <w:r>
        <w:rPr>
          <w:rFonts w:ascii="Arial" w:hAnsi="Arial" w:eastAsia="Arial" w:cs="Arial"/>
          <w:b w:val="0"/>
          <w:i w:val="0"/>
          <w:smallCaps w:val="0"/>
          <w:strike w:val="0"/>
          <w:color w:val="000000"/>
          <w:sz w:val="24"/>
          <w:szCs w:val="24"/>
          <w:u w:val="none"/>
          <w:vertAlign w:val="baseline"/>
        </w:rPr>
        <w:t xml:space="preserve">Descrever regras, prazos e procedimentos referentes aos dividendos não reclamados. </w:t>
      </w:r>
    </w:p>
    <w:p>
      <w:pPr>
        <w:keepNext/>
        <w:keepLines w:val="0"/>
        <w:widowControl/>
        <w:shd w:val="clear" w:fill="FFFFFF"/>
        <w:spacing w:before="63" w:after="63" w:line="360" w:lineRule="auto"/>
        <w:ind w:left="0" w:right="0" w:firstLine="709"/>
        <w:jc w:val="both"/>
        <w:rPr>
          <w:rFonts w:ascii="Arial" w:hAnsi="Arial" w:eastAsia="Arial" w:cs="Arial"/>
          <w:b w:val="0"/>
          <w:i w:val="0"/>
          <w:smallCaps w:val="0"/>
          <w:strike w:val="0"/>
          <w:color w:val="000000"/>
          <w:sz w:val="24"/>
          <w:szCs w:val="24"/>
          <w:u w:val="none"/>
          <w:vertAlign w:val="baseline"/>
        </w:rPr>
      </w:pPr>
      <w:r>
        <w:rPr>
          <w:rFonts w:ascii="Arial" w:hAnsi="Arial" w:eastAsia="Arial" w:cs="Arial"/>
          <w:b w:val="0"/>
          <w:i w:val="0"/>
          <w:smallCaps w:val="0"/>
          <w:strike w:val="0"/>
          <w:color w:val="000000"/>
          <w:sz w:val="24"/>
          <w:szCs w:val="24"/>
          <w:u w:val="none"/>
          <w:vertAlign w:val="baseline"/>
        </w:rPr>
        <w:t>Exemplo: dividendos não reclamados no prazo de três anos, contados da data em que tenham sido postos à disposição do acionista, reverterão em benefício da Companhia.</w:t>
      </w:r>
    </w:p>
    <w:p>
      <w:pPr>
        <w:pStyle w:val="2"/>
        <w:numPr>
          <w:ilvl w:val="0"/>
          <w:numId w:val="1"/>
        </w:numPr>
        <w:spacing w:before="120" w:after="120" w:line="360" w:lineRule="auto"/>
        <w:ind w:left="709" w:right="0" w:hanging="709"/>
        <w:jc w:val="both"/>
        <w:rPr>
          <w:sz w:val="24"/>
          <w:szCs w:val="24"/>
        </w:rPr>
      </w:pPr>
      <w:bookmarkStart w:id="5" w:name="_2et92p0" w:colFirst="0" w:colLast="0"/>
      <w:bookmarkEnd w:id="5"/>
      <w:r>
        <w:rPr>
          <w:sz w:val="24"/>
          <w:szCs w:val="24"/>
        </w:rPr>
        <w:t>DA ALTERAÇÃO DA POLÍTICA DE DISTRIBUIÇÃO DOS DIVIDENDOS</w:t>
      </w:r>
    </w:p>
    <w:p>
      <w:pPr>
        <w:shd w:val="clear" w:fill="FFFFFF"/>
        <w:spacing w:before="120" w:after="120" w:line="360" w:lineRule="auto"/>
        <w:ind w:left="0" w:right="0" w:firstLine="709"/>
        <w:jc w:val="both"/>
        <w:rPr>
          <w:rFonts w:ascii="Arial" w:hAnsi="Arial" w:eastAsia="Arial" w:cs="Arial"/>
          <w:b w:val="0"/>
          <w:i w:val="0"/>
          <w:color w:val="000000"/>
        </w:rPr>
      </w:pPr>
      <w:r>
        <w:rPr>
          <w:rFonts w:ascii="Arial" w:hAnsi="Arial" w:eastAsia="Arial" w:cs="Arial"/>
          <w:b w:val="0"/>
          <w:i w:val="0"/>
          <w:color w:val="000000"/>
        </w:rPr>
        <w:t>Qualquer alteração desta política deverá ser obrigatoriamente aprovada pelo Conselho de Administração da Companhia e comunicada, quando sociedade anônima à Comissão de Valores Mobiliários – CVM e à BM&amp;FBOVESPA, além da divulgação por meio de Fato Relevante.</w:t>
      </w:r>
    </w:p>
    <w:p>
      <w:pPr>
        <w:shd w:val="clear" w:fill="FFFFFF"/>
        <w:tabs>
          <w:tab w:val="left" w:pos="1636"/>
        </w:tabs>
        <w:spacing w:before="120" w:after="120" w:line="360" w:lineRule="auto"/>
        <w:ind w:left="0" w:right="0" w:firstLine="709"/>
        <w:jc w:val="both"/>
        <w:rPr>
          <w:rFonts w:ascii="Arial" w:hAnsi="Arial" w:eastAsia="Arial" w:cs="Arial"/>
          <w:b w:val="0"/>
          <w:i w:val="0"/>
          <w:color w:val="000000"/>
        </w:rPr>
      </w:pPr>
      <w:r>
        <w:rPr>
          <w:rFonts w:ascii="Arial" w:hAnsi="Arial" w:eastAsia="Arial" w:cs="Arial"/>
          <w:b w:val="0"/>
          <w:i w:val="0"/>
          <w:color w:val="000000"/>
        </w:rPr>
        <w:t>Data da Aprovação na Reunião do Conselho de Administração.</w:t>
      </w:r>
    </w:p>
    <w:p>
      <w:pPr>
        <w:shd w:val="clear" w:fill="FFFFFF"/>
        <w:tabs>
          <w:tab w:val="left" w:pos="1636"/>
        </w:tabs>
        <w:spacing w:before="120" w:after="120" w:line="360" w:lineRule="auto"/>
        <w:ind w:left="0" w:right="0" w:firstLine="709"/>
        <w:jc w:val="both"/>
        <w:rPr>
          <w:rFonts w:ascii="Arial" w:hAnsi="Arial" w:eastAsia="Arial" w:cs="Arial"/>
        </w:rPr>
      </w:pPr>
    </w:p>
    <w:p>
      <w:pPr>
        <w:shd w:val="clear" w:fill="FFFFFF"/>
        <w:tabs>
          <w:tab w:val="left" w:pos="1636"/>
        </w:tabs>
        <w:spacing w:before="120" w:after="120" w:line="360" w:lineRule="auto"/>
        <w:ind w:left="0" w:right="0" w:firstLine="709"/>
        <w:jc w:val="both"/>
        <w:rPr>
          <w:rFonts w:ascii="Arial" w:hAnsi="Arial" w:eastAsia="Arial" w:cs="Arial"/>
        </w:rPr>
      </w:pPr>
    </w:p>
    <w:p>
      <w:pPr>
        <w:keepNext w:val="0"/>
        <w:jc w:val="center"/>
        <w:rPr>
          <w:rFonts w:ascii="Arial" w:hAnsi="Arial" w:eastAsia="Arial" w:cs="Arial"/>
        </w:rPr>
      </w:pPr>
      <w:r>
        <w:rPr>
          <w:rFonts w:ascii="Arial" w:hAnsi="Arial" w:eastAsia="Arial" w:cs="Arial"/>
        </w:rPr>
        <w:t>TABELA DE CONTROLE DE ALTERAÇÕES DESTE DOCUMENTO</w:t>
      </w:r>
    </w:p>
    <w:tbl>
      <w:tblPr>
        <w:tblStyle w:val="13"/>
        <w:tblW w:w="963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1785"/>
        <w:gridCol w:w="1380"/>
        <w:gridCol w:w="3495"/>
        <w:gridCol w:w="2970"/>
      </w:tblGrid>
      <w:tr>
        <w:tc>
          <w:tcPr>
            <w:tcW w:w="1785" w:type="dxa"/>
            <w:shd w:val="clear" w:color="auto" w:fill="073763"/>
            <w:tcMar>
              <w:top w:w="100" w:type="dxa"/>
              <w:left w:w="100" w:type="dxa"/>
              <w:bottom w:w="100" w:type="dxa"/>
              <w:right w:w="100" w:type="dxa"/>
            </w:tcMar>
            <w:vAlign w:val="center"/>
          </w:tcPr>
          <w:p>
            <w:pPr>
              <w:keepNext w:val="0"/>
              <w:shd w:val="clear" w:fill="auto"/>
              <w:jc w:val="center"/>
              <w:rPr>
                <w:b/>
                <w:color w:val="FFFFFF"/>
                <w:sz w:val="22"/>
                <w:szCs w:val="22"/>
              </w:rPr>
            </w:pPr>
            <w:r>
              <w:rPr>
                <w:b/>
                <w:color w:val="FFFFFF"/>
                <w:sz w:val="22"/>
                <w:szCs w:val="22"/>
              </w:rPr>
              <w:t>Nº DA REVISÃO</w:t>
            </w:r>
          </w:p>
        </w:tc>
        <w:tc>
          <w:tcPr>
            <w:tcW w:w="1380" w:type="dxa"/>
            <w:shd w:val="clear" w:color="auto" w:fill="073763"/>
            <w:tcMar>
              <w:top w:w="100" w:type="dxa"/>
              <w:left w:w="100" w:type="dxa"/>
              <w:bottom w:w="100" w:type="dxa"/>
              <w:right w:w="100" w:type="dxa"/>
            </w:tcMar>
            <w:vAlign w:val="center"/>
          </w:tcPr>
          <w:p>
            <w:pPr>
              <w:keepNext w:val="0"/>
              <w:shd w:val="clear" w:fill="auto"/>
              <w:jc w:val="center"/>
              <w:rPr>
                <w:b/>
                <w:color w:val="FFFFFF"/>
                <w:sz w:val="22"/>
                <w:szCs w:val="22"/>
              </w:rPr>
            </w:pPr>
            <w:r>
              <w:rPr>
                <w:b/>
                <w:color w:val="FFFFFF"/>
                <w:sz w:val="22"/>
                <w:szCs w:val="22"/>
              </w:rPr>
              <w:t>DATA</w:t>
            </w:r>
          </w:p>
        </w:tc>
        <w:tc>
          <w:tcPr>
            <w:tcW w:w="3495" w:type="dxa"/>
            <w:shd w:val="clear" w:color="auto" w:fill="073763"/>
            <w:tcMar>
              <w:top w:w="100" w:type="dxa"/>
              <w:left w:w="100" w:type="dxa"/>
              <w:bottom w:w="100" w:type="dxa"/>
              <w:right w:w="100" w:type="dxa"/>
            </w:tcMar>
            <w:vAlign w:val="center"/>
          </w:tcPr>
          <w:p>
            <w:pPr>
              <w:keepNext w:val="0"/>
              <w:shd w:val="clear" w:fill="auto"/>
              <w:jc w:val="center"/>
              <w:rPr>
                <w:b/>
                <w:color w:val="FFFFFF"/>
                <w:sz w:val="22"/>
                <w:szCs w:val="22"/>
              </w:rPr>
            </w:pPr>
            <w:r>
              <w:rPr>
                <w:b/>
                <w:color w:val="FFFFFF"/>
                <w:sz w:val="22"/>
                <w:szCs w:val="22"/>
              </w:rPr>
              <w:t>ATUALIZAÇÃO REALIZADA</w:t>
            </w:r>
          </w:p>
        </w:tc>
        <w:tc>
          <w:tcPr>
            <w:tcW w:w="2970" w:type="dxa"/>
            <w:shd w:val="clear" w:color="auto" w:fill="073763"/>
            <w:tcMar>
              <w:top w:w="100" w:type="dxa"/>
              <w:left w:w="100" w:type="dxa"/>
              <w:bottom w:w="100" w:type="dxa"/>
              <w:right w:w="100" w:type="dxa"/>
            </w:tcMar>
            <w:vAlign w:val="center"/>
          </w:tcPr>
          <w:p>
            <w:pPr>
              <w:keepNext w:val="0"/>
              <w:shd w:val="clear" w:fill="auto"/>
              <w:jc w:val="center"/>
              <w:rPr>
                <w:b/>
                <w:color w:val="FFFFFF"/>
                <w:sz w:val="22"/>
                <w:szCs w:val="22"/>
              </w:rPr>
            </w:pPr>
            <w:r>
              <w:rPr>
                <w:b/>
                <w:color w:val="FFFFFF"/>
                <w:sz w:val="22"/>
                <w:szCs w:val="22"/>
              </w:rPr>
              <w:t>RESPONSÁVEL</w:t>
            </w:r>
          </w:p>
        </w:tc>
      </w:tr>
      <w:tr>
        <w:tc>
          <w:tcPr>
            <w:tcW w:w="1785" w:type="dxa"/>
            <w:shd w:val="clear" w:color="auto" w:fill="auto"/>
            <w:tcMar>
              <w:top w:w="100" w:type="dxa"/>
              <w:left w:w="100" w:type="dxa"/>
              <w:bottom w:w="100" w:type="dxa"/>
              <w:right w:w="100" w:type="dxa"/>
            </w:tcMar>
            <w:vAlign w:val="top"/>
          </w:tcPr>
          <w:p>
            <w:pPr>
              <w:keepNext w:val="0"/>
              <w:shd w:val="clear" w:fill="auto"/>
              <w:jc w:val="center"/>
              <w:rPr>
                <w:sz w:val="22"/>
                <w:szCs w:val="22"/>
              </w:rPr>
            </w:pPr>
            <w:r>
              <w:rPr>
                <w:sz w:val="22"/>
                <w:szCs w:val="22"/>
              </w:rPr>
              <w:t>Versão Inicial</w:t>
            </w:r>
          </w:p>
        </w:tc>
        <w:tc>
          <w:tcPr>
            <w:tcW w:w="1380" w:type="dxa"/>
            <w:shd w:val="clear" w:color="auto" w:fill="auto"/>
            <w:tcMar>
              <w:top w:w="100" w:type="dxa"/>
              <w:left w:w="100" w:type="dxa"/>
              <w:bottom w:w="100" w:type="dxa"/>
              <w:right w:w="100" w:type="dxa"/>
            </w:tcMar>
            <w:vAlign w:val="top"/>
          </w:tcPr>
          <w:p>
            <w:pPr>
              <w:keepNext w:val="0"/>
              <w:shd w:val="clear" w:fill="auto"/>
              <w:jc w:val="center"/>
              <w:rPr>
                <w:sz w:val="22"/>
                <w:szCs w:val="22"/>
              </w:rPr>
            </w:pPr>
            <w:r>
              <w:rPr>
                <w:sz w:val="22"/>
                <w:szCs w:val="22"/>
              </w:rPr>
              <w:t>28/05/2019</w:t>
            </w:r>
          </w:p>
        </w:tc>
        <w:tc>
          <w:tcPr>
            <w:tcW w:w="3495" w:type="dxa"/>
            <w:shd w:val="clear" w:color="auto" w:fill="auto"/>
            <w:tcMar>
              <w:top w:w="100" w:type="dxa"/>
              <w:left w:w="100" w:type="dxa"/>
              <w:bottom w:w="100" w:type="dxa"/>
              <w:right w:w="100" w:type="dxa"/>
            </w:tcMar>
            <w:vAlign w:val="top"/>
          </w:tcPr>
          <w:p>
            <w:pPr>
              <w:keepNext w:val="0"/>
              <w:shd w:val="clear" w:fill="auto"/>
              <w:rPr>
                <w:sz w:val="22"/>
                <w:szCs w:val="22"/>
              </w:rPr>
            </w:pPr>
            <w:r>
              <w:rPr>
                <w:sz w:val="22"/>
                <w:szCs w:val="22"/>
              </w:rPr>
              <w:t>ELABORAÇÃO DO DOCUMENTO</w:t>
            </w:r>
          </w:p>
        </w:tc>
        <w:tc>
          <w:tcPr>
            <w:tcW w:w="2970" w:type="dxa"/>
            <w:shd w:val="clear" w:color="auto" w:fill="auto"/>
            <w:tcMar>
              <w:top w:w="100" w:type="dxa"/>
              <w:left w:w="100" w:type="dxa"/>
              <w:bottom w:w="100" w:type="dxa"/>
              <w:right w:w="100" w:type="dxa"/>
            </w:tcMar>
            <w:vAlign w:val="top"/>
          </w:tcPr>
          <w:p>
            <w:pPr>
              <w:keepNext w:val="0"/>
              <w:shd w:val="clear" w:fill="auto"/>
              <w:rPr>
                <w:sz w:val="22"/>
                <w:szCs w:val="22"/>
              </w:rPr>
            </w:pPr>
            <w:r>
              <w:rPr>
                <w:sz w:val="22"/>
                <w:szCs w:val="22"/>
              </w:rPr>
              <w:t>FAUSTER BARBOSA FERREIRA</w:t>
            </w:r>
          </w:p>
        </w:tc>
      </w:tr>
      <w:tr>
        <w:trPr>
          <w:trHeight w:val="300" w:hRule="atLeast"/>
        </w:trPr>
        <w:tc>
          <w:tcPr>
            <w:tcW w:w="1785" w:type="dxa"/>
            <w:shd w:val="clear" w:color="auto" w:fill="auto"/>
            <w:tcMar>
              <w:top w:w="100" w:type="dxa"/>
              <w:left w:w="100" w:type="dxa"/>
              <w:bottom w:w="100" w:type="dxa"/>
              <w:right w:w="100" w:type="dxa"/>
            </w:tcMar>
            <w:vAlign w:val="top"/>
          </w:tcPr>
          <w:p>
            <w:pPr>
              <w:keepNext w:val="0"/>
              <w:shd w:val="clear" w:fill="auto"/>
              <w:jc w:val="center"/>
              <w:rPr>
                <w:sz w:val="22"/>
                <w:szCs w:val="22"/>
              </w:rPr>
            </w:pPr>
          </w:p>
        </w:tc>
        <w:tc>
          <w:tcPr>
            <w:tcW w:w="1380" w:type="dxa"/>
            <w:shd w:val="clear" w:color="auto" w:fill="auto"/>
            <w:tcMar>
              <w:top w:w="100" w:type="dxa"/>
              <w:left w:w="100" w:type="dxa"/>
              <w:bottom w:w="100" w:type="dxa"/>
              <w:right w:w="100" w:type="dxa"/>
            </w:tcMar>
            <w:vAlign w:val="top"/>
          </w:tcPr>
          <w:p>
            <w:pPr>
              <w:keepNext w:val="0"/>
              <w:shd w:val="clear" w:fill="auto"/>
              <w:jc w:val="center"/>
              <w:rPr>
                <w:sz w:val="22"/>
                <w:szCs w:val="22"/>
              </w:rPr>
            </w:pPr>
          </w:p>
        </w:tc>
        <w:tc>
          <w:tcPr>
            <w:tcW w:w="3495" w:type="dxa"/>
            <w:shd w:val="clear" w:color="auto" w:fill="auto"/>
            <w:tcMar>
              <w:top w:w="100" w:type="dxa"/>
              <w:left w:w="100" w:type="dxa"/>
              <w:bottom w:w="100" w:type="dxa"/>
              <w:right w:w="100" w:type="dxa"/>
            </w:tcMar>
            <w:vAlign w:val="top"/>
          </w:tcPr>
          <w:p>
            <w:pPr>
              <w:keepNext w:val="0"/>
              <w:shd w:val="clear" w:fill="auto"/>
              <w:rPr>
                <w:sz w:val="22"/>
                <w:szCs w:val="22"/>
              </w:rPr>
            </w:pPr>
          </w:p>
        </w:tc>
        <w:tc>
          <w:tcPr>
            <w:tcW w:w="2970" w:type="dxa"/>
            <w:shd w:val="clear" w:color="auto" w:fill="auto"/>
            <w:tcMar>
              <w:top w:w="100" w:type="dxa"/>
              <w:left w:w="100" w:type="dxa"/>
              <w:bottom w:w="100" w:type="dxa"/>
              <w:right w:w="100" w:type="dxa"/>
            </w:tcMar>
            <w:vAlign w:val="top"/>
          </w:tcPr>
          <w:p>
            <w:pPr>
              <w:keepNext w:val="0"/>
              <w:shd w:val="clear" w:fill="auto"/>
              <w:rPr>
                <w:sz w:val="22"/>
                <w:szCs w:val="22"/>
              </w:rPr>
            </w:pPr>
          </w:p>
        </w:tc>
      </w:tr>
    </w:tbl>
    <w:p>
      <w:pPr>
        <w:keepNext w:val="0"/>
        <w:spacing w:before="120" w:after="120" w:line="360" w:lineRule="auto"/>
        <w:jc w:val="both"/>
        <w:rPr>
          <w:rFonts w:ascii="Arial" w:hAnsi="Arial" w:eastAsia="Arial" w:cs="Arial"/>
        </w:rPr>
      </w:pPr>
    </w:p>
    <w:sectPr>
      <w:headerReference r:id="rId3" w:type="default"/>
      <w:footerReference r:id="rId4" w:type="default"/>
      <w:pgSz w:w="11906" w:h="16838"/>
      <w:pgMar w:top="1530" w:right="850" w:bottom="1913" w:left="1701" w:header="0" w:footer="383"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Monospace"/>
    <w:panose1 w:val="00000000000000000000"/>
    <w:charset w:val="86"/>
    <w:family w:val="auto"/>
    <w:pitch w:val="default"/>
    <w:sig w:usb0="00000000" w:usb1="00000000" w:usb2="00000000" w:usb3="00000000" w:csb0="00000000" w:csb1="00000000"/>
  </w:font>
  <w:font w:name="Wingdings">
    <w:altName w:val="aakar"/>
    <w:panose1 w:val="05000000000000000000"/>
    <w:charset w:val="00"/>
    <w:family w:val="auto"/>
    <w:pitch w:val="default"/>
    <w:sig w:usb0="00000000" w:usb1="1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Noto Sans CJK JP"/>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mbria">
    <w:altName w:val="Georgia"/>
    <w:panose1 w:val="02040503050406030204"/>
    <w:charset w:val="00"/>
    <w:family w:val="modern"/>
    <w:pitch w:val="default"/>
    <w:sig w:usb0="00000000" w:usb1="00000000" w:usb2="00000000" w:usb3="00000000" w:csb0="0000019F" w:csb1="00000000"/>
  </w:font>
  <w:font w:name="Calibri">
    <w:altName w:val="Arial"/>
    <w:panose1 w:val="020F0502020204030204"/>
    <w:charset w:val="86"/>
    <w:family w:val="decorative"/>
    <w:pitch w:val="default"/>
    <w:sig w:usb0="00000000" w:usb1="00000000" w:usb2="00000001" w:usb3="00000000" w:csb0="0000019F" w:csb1="00000000"/>
  </w:font>
  <w:font w:name="SimSun">
    <w:altName w:val="Monospace"/>
    <w:panose1 w:val="00000000000000000000"/>
    <w:charset w:val="86"/>
    <w:family w:val="auto"/>
    <w:pitch w:val="default"/>
    <w:sig w:usb0="00000000" w:usb1="00000000" w:usb2="00000000" w:usb3="00000000" w:csb0="00000000" w:csb1="00000000"/>
  </w:font>
  <w:font w:name="DejaVa Sans">
    <w:altName w:val="Kalapi"/>
    <w:panose1 w:val="00000000000000000000"/>
    <w:charset w:val="00"/>
    <w:family w:val="auto"/>
    <w:pitch w:val="default"/>
    <w:sig w:usb0="00000000" w:usb1="00000000" w:usb2="00000000" w:usb3="00000000" w:csb0="00000000" w:csb1="00000000"/>
  </w:font>
  <w:font w:name="Kalapi">
    <w:panose1 w:val="00000400000000000000"/>
    <w:charset w:val="00"/>
    <w:family w:val="auto"/>
    <w:pitch w:val="default"/>
    <w:sig w:usb0="00000000" w:usb1="00000000" w:usb2="00000000" w:usb3="00000000" w:csb0="00000000" w:csb1="00000000"/>
  </w:font>
  <w:font w:name="aakar">
    <w:panose1 w:val="02000600040000000000"/>
    <w:charset w:val="00"/>
    <w:family w:val="auto"/>
    <w:pitch w:val="default"/>
    <w:sig w:usb0="80040001" w:usb1="00002000" w:usb2="00000000" w:usb3="00000000" w:csb0="20000000" w:csb1="80000000"/>
  </w:font>
  <w:font w:name="Monospace">
    <w:panose1 w:val="020B0609030804020204"/>
    <w:charset w:val="00"/>
    <w:family w:val="auto"/>
    <w:pitch w:val="default"/>
    <w:sig w:usb0="00000000" w:usb1="00000000" w:usb2="00000000" w:usb3="00000000" w:csb0="001D016D" w:csb1="00000000"/>
  </w:font>
  <w:font w:name="Noto Sans CJK JP">
    <w:panose1 w:val="020B0600000000000000"/>
    <w:charset w:val="86"/>
    <w:family w:val="auto"/>
    <w:pitch w:val="default"/>
    <w:sig w:usb0="30000003" w:usb1="2BDF3C10" w:usb2="00000016" w:usb3="00000000" w:csb0="602E0107" w:csb1="00000000"/>
  </w:font>
  <w:font w:name="Georgia">
    <w:panose1 w:val="02040502050405020303"/>
    <w:charset w:val="00"/>
    <w:family w:val="auto"/>
    <w:pitch w:val="default"/>
    <w:sig w:usb0="00000287" w:usb1="00000000" w:usb2="00000000" w:usb3="00000000" w:csb0="2000009F" w:csb1="00000000"/>
  </w:font>
  <w:font w:name="Monospace">
    <w:panose1 w:val="020B0609030804020204"/>
    <w:charset w:val="00"/>
    <w:family w:val="auto"/>
    <w:pitch w:val="default"/>
    <w:sig w:usb0="00000000" w:usb1="00000000" w:usb2="00000000" w:usb3="00000000" w:csb0="001D016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val="0"/>
      <w:shd w:val="clear" w:fill="FFFFFF"/>
      <w:spacing w:before="0" w:after="0" w:line="276" w:lineRule="auto"/>
      <w:ind w:left="0" w:right="0" w:firstLine="0"/>
      <w:jc w:val="left"/>
      <w:rPr>
        <w:rFonts w:ascii="Times New Roman" w:hAnsi="Times New Roman" w:eastAsia="Times New Roman" w:cs="Times New Roman"/>
        <w:b w:val="0"/>
        <w:i w:val="0"/>
        <w:smallCaps w:val="0"/>
        <w:strike w:val="0"/>
        <w:color w:val="000000"/>
        <w:sz w:val="24"/>
        <w:szCs w:val="24"/>
        <w:u w:val="none"/>
        <w:vertAlign w:val="baseline"/>
      </w:rPr>
    </w:pPr>
  </w:p>
  <w:tbl>
    <w:tblPr>
      <w:tblStyle w:val="14"/>
      <w:tblW w:w="9360" w:type="dxa"/>
      <w:tblInd w:w="-108" w:type="dxa"/>
      <w:tblLayout w:type="fixed"/>
      <w:tblCellMar>
        <w:top w:w="0" w:type="dxa"/>
        <w:left w:w="108" w:type="dxa"/>
        <w:bottom w:w="0" w:type="dxa"/>
        <w:right w:w="108" w:type="dxa"/>
      </w:tblCellMar>
    </w:tblPr>
    <w:tblGrid>
      <w:gridCol w:w="3795"/>
      <w:gridCol w:w="5565"/>
    </w:tblGrid>
    <w:tr>
      <w:trPr>
        <w:trHeight w:val="1380" w:hRule="atLeast"/>
      </w:trPr>
      <w:tc>
        <w:tcPr>
          <w:tcW w:w="3795" w:type="dxa"/>
          <w:shd w:val="clear" w:color="auto" w:fill="auto"/>
        </w:tcPr>
        <w:p>
          <w:pPr>
            <w:keepNext/>
            <w:keepLines w:val="0"/>
            <w:widowControl w:val="0"/>
            <w:shd w:val="clear" w:fill="FFFFFF"/>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vertAlign w:val="baseline"/>
            </w:rPr>
          </w:pPr>
        </w:p>
        <w:p>
          <w:pPr>
            <w:keepNext/>
            <w:keepLines w:val="0"/>
            <w:widowControl w:val="0"/>
            <w:shd w:val="clear" w:fill="FFFFFF"/>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vertAlign w:val="baseline"/>
            </w:rPr>
          </w:pPr>
        </w:p>
        <w:p>
          <w:pPr>
            <w:keepNext/>
            <w:keepLines w:val="0"/>
            <w:widowControl w:val="0"/>
            <w:shd w:val="clear" w:fill="FFFFFF"/>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vertAlign w:val="baseline"/>
            </w:rPr>
          </w:pPr>
          <w:r>
            <w:drawing>
              <wp:anchor distT="0" distB="0" distL="0" distR="0" simplePos="0" relativeHeight="0" behindDoc="0" locked="0" layoutInCell="1" allowOverlap="1">
                <wp:simplePos x="0" y="0"/>
                <wp:positionH relativeFrom="column">
                  <wp:posOffset>1504950</wp:posOffset>
                </wp:positionH>
                <wp:positionV relativeFrom="paragraph">
                  <wp:posOffset>-312420</wp:posOffset>
                </wp:positionV>
                <wp:extent cx="817880" cy="817880"/>
                <wp:effectExtent l="0" t="0" r="0" b="0"/>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
                        <a:srcRect/>
                        <a:stretch>
                          <a:fillRect/>
                        </a:stretch>
                      </pic:blipFill>
                      <pic:spPr>
                        <a:xfrm>
                          <a:off x="0" y="0"/>
                          <a:ext cx="817880" cy="817880"/>
                        </a:xfrm>
                        <a:prstGeom prst="rect">
                          <a:avLst/>
                        </a:prstGeom>
                      </pic:spPr>
                    </pic:pic>
                  </a:graphicData>
                </a:graphic>
              </wp:anchor>
            </w:drawing>
          </w:r>
        </w:p>
      </w:tc>
      <w:tc>
        <w:tcPr>
          <w:tcW w:w="5565" w:type="dxa"/>
          <w:shd w:val="clear" w:color="auto" w:fill="auto"/>
        </w:tcPr>
        <w:p>
          <w:pPr>
            <w:keepNext/>
            <w:keepLines w:val="0"/>
            <w:widowControl w:val="0"/>
            <w:shd w:val="clear" w:fill="FFFFFF"/>
            <w:spacing w:before="0" w:after="0" w:line="240" w:lineRule="auto"/>
            <w:ind w:left="0" w:right="0" w:firstLine="0"/>
            <w:jc w:val="left"/>
            <w:rPr>
              <w:rFonts w:ascii="Arial" w:hAnsi="Arial" w:eastAsia="Arial" w:cs="Arial"/>
              <w:b/>
              <w:i w:val="0"/>
              <w:smallCaps w:val="0"/>
              <w:strike w:val="0"/>
              <w:color w:val="003366"/>
              <w:sz w:val="16"/>
              <w:szCs w:val="16"/>
              <w:u w:val="none"/>
              <w:vertAlign w:val="baseline"/>
            </w:rPr>
          </w:pPr>
        </w:p>
        <w:p>
          <w:pPr>
            <w:keepNext/>
            <w:keepLines w:val="0"/>
            <w:widowControl w:val="0"/>
            <w:shd w:val="clear" w:fill="FFFFFF"/>
            <w:spacing w:before="0" w:after="0" w:line="240" w:lineRule="auto"/>
            <w:ind w:left="0" w:right="0" w:firstLine="0"/>
            <w:jc w:val="left"/>
            <w:rPr>
              <w:rFonts w:ascii="Arial" w:hAnsi="Arial" w:eastAsia="Arial" w:cs="Arial"/>
              <w:b/>
              <w:i w:val="0"/>
              <w:smallCaps w:val="0"/>
              <w:strike w:val="0"/>
              <w:color w:val="003366"/>
              <w:sz w:val="16"/>
              <w:szCs w:val="16"/>
              <w:u w:val="none"/>
              <w:vertAlign w:val="baseline"/>
            </w:rPr>
          </w:pPr>
          <w:r>
            <w:rPr>
              <w:rFonts w:ascii="Arial" w:hAnsi="Arial" w:eastAsia="Arial" w:cs="Arial"/>
              <w:b/>
              <w:i w:val="0"/>
              <w:smallCaps w:val="0"/>
              <w:strike w:val="0"/>
              <w:color w:val="003366"/>
              <w:sz w:val="16"/>
              <w:szCs w:val="16"/>
              <w:u w:val="none"/>
              <w:vertAlign w:val="baseline"/>
            </w:rPr>
            <w:t>Secretaria da Controladoria-Geral Estado</w:t>
          </w:r>
        </w:p>
        <w:p>
          <w:pPr>
            <w:keepNext/>
            <w:keepLines w:val="0"/>
            <w:widowControl w:val="0"/>
            <w:shd w:val="clear" w:fill="FFFFFF"/>
            <w:spacing w:before="0" w:after="0" w:line="240" w:lineRule="auto"/>
            <w:ind w:left="0" w:right="0" w:firstLine="0"/>
            <w:jc w:val="left"/>
            <w:rPr>
              <w:rFonts w:ascii="Arial" w:hAnsi="Arial" w:eastAsia="Arial" w:cs="Arial"/>
              <w:b w:val="0"/>
              <w:i w:val="0"/>
              <w:smallCaps w:val="0"/>
              <w:strike w:val="0"/>
              <w:color w:val="003366"/>
              <w:sz w:val="16"/>
              <w:szCs w:val="16"/>
              <w:u w:val="none"/>
              <w:vertAlign w:val="baseline"/>
            </w:rPr>
          </w:pPr>
          <w:r>
            <w:rPr>
              <w:rFonts w:ascii="Arial" w:hAnsi="Arial" w:eastAsia="Arial" w:cs="Arial"/>
              <w:b w:val="0"/>
              <w:i w:val="0"/>
              <w:smallCaps w:val="0"/>
              <w:strike w:val="0"/>
              <w:color w:val="003366"/>
              <w:sz w:val="16"/>
              <w:szCs w:val="16"/>
              <w:u w:val="none"/>
              <w:vertAlign w:val="baseline"/>
            </w:rPr>
            <w:t>Rua Santo Elias, n.º 535, Espinheiro – Recife/PE</w:t>
          </w:r>
        </w:p>
        <w:p>
          <w:pPr>
            <w:keepNext/>
            <w:keepLines w:val="0"/>
            <w:widowControl w:val="0"/>
            <w:shd w:val="clear" w:fill="FFFFFF"/>
            <w:spacing w:before="0" w:after="0" w:line="240" w:lineRule="auto"/>
            <w:ind w:left="0" w:right="0" w:firstLine="0"/>
            <w:jc w:val="left"/>
            <w:rPr>
              <w:rFonts w:ascii="Arial" w:hAnsi="Arial" w:eastAsia="Arial" w:cs="Arial"/>
              <w:b w:val="0"/>
              <w:i w:val="0"/>
              <w:smallCaps w:val="0"/>
              <w:strike w:val="0"/>
              <w:color w:val="003366"/>
              <w:sz w:val="16"/>
              <w:szCs w:val="16"/>
              <w:u w:val="none"/>
              <w:vertAlign w:val="baseline"/>
            </w:rPr>
          </w:pPr>
          <w:r>
            <w:rPr>
              <w:rFonts w:ascii="Arial" w:hAnsi="Arial" w:eastAsia="Arial" w:cs="Arial"/>
              <w:b w:val="0"/>
              <w:i w:val="0"/>
              <w:smallCaps w:val="0"/>
              <w:strike w:val="0"/>
              <w:color w:val="003366"/>
              <w:sz w:val="16"/>
              <w:szCs w:val="16"/>
              <w:u w:val="none"/>
              <w:vertAlign w:val="baseline"/>
            </w:rPr>
            <w:t>Telefone: (081) 3183-0800</w:t>
          </w:r>
        </w:p>
        <w:p>
          <w:pPr>
            <w:keepNext/>
            <w:keepLines w:val="0"/>
            <w:widowControl w:val="0"/>
            <w:shd w:val="clear" w:fill="FFFFFF"/>
            <w:spacing w:before="0" w:after="0" w:line="240" w:lineRule="auto"/>
            <w:ind w:left="0" w:right="0" w:firstLine="0"/>
            <w:jc w:val="left"/>
            <w:rPr>
              <w:rFonts w:ascii="Arial" w:hAnsi="Arial" w:eastAsia="Arial" w:cs="Arial"/>
              <w:b w:val="0"/>
              <w:i w:val="0"/>
              <w:smallCaps w:val="0"/>
              <w:strike w:val="0"/>
              <w:color w:val="003366"/>
              <w:sz w:val="16"/>
              <w:szCs w:val="16"/>
              <w:u w:val="none"/>
              <w:vertAlign w:val="baseline"/>
            </w:rPr>
          </w:pPr>
          <w:r>
            <w:rPr>
              <w:rFonts w:ascii="Arial" w:hAnsi="Arial" w:eastAsia="Arial" w:cs="Arial"/>
              <w:b w:val="0"/>
              <w:i w:val="0"/>
              <w:smallCaps w:val="0"/>
              <w:strike w:val="0"/>
              <w:color w:val="003366"/>
              <w:sz w:val="16"/>
              <w:szCs w:val="16"/>
              <w:u w:val="none"/>
              <w:vertAlign w:val="baseline"/>
            </w:rPr>
            <w:t>www.scge.pe.gov.br</w:t>
          </w:r>
        </w:p>
        <w:p>
          <w:pPr>
            <w:keepNext/>
            <w:keepLines w:val="0"/>
            <w:widowControl w:val="0"/>
            <w:shd w:val="clear" w:fill="FFFFFF"/>
            <w:spacing w:before="0" w:after="0" w:line="240" w:lineRule="auto"/>
            <w:ind w:left="0" w:right="0" w:firstLine="0"/>
            <w:jc w:val="left"/>
            <w:rPr>
              <w:rFonts w:ascii="Arial" w:hAnsi="Arial" w:eastAsia="Arial" w:cs="Arial"/>
              <w:b w:val="0"/>
              <w:i w:val="0"/>
              <w:smallCaps w:val="0"/>
              <w:strike w:val="0"/>
              <w:color w:val="003366"/>
              <w:sz w:val="16"/>
              <w:szCs w:val="16"/>
              <w:u w:val="none"/>
              <w:vertAlign w:val="baseline"/>
            </w:rPr>
          </w:pPr>
          <w:r>
            <w:rPr>
              <w:rFonts w:ascii="Arial" w:hAnsi="Arial" w:eastAsia="Arial" w:cs="Arial"/>
              <w:b w:val="0"/>
              <w:i w:val="0"/>
              <w:smallCaps w:val="0"/>
              <w:strike w:val="0"/>
              <w:color w:val="003366"/>
              <w:sz w:val="16"/>
              <w:szCs w:val="16"/>
              <w:u w:val="none"/>
              <w:vertAlign w:val="baseline"/>
            </w:rPr>
            <w:t>Twitter: @scge_pe</w:t>
          </w:r>
        </w:p>
        <w:p>
          <w:pPr>
            <w:keepNext/>
            <w:keepLines w:val="0"/>
            <w:widowControl w:val="0"/>
            <w:shd w:val="clear" w:fill="FFFFFF"/>
            <w:spacing w:before="0" w:after="0" w:line="240" w:lineRule="auto"/>
            <w:ind w:left="0" w:right="0" w:firstLine="0"/>
            <w:jc w:val="left"/>
            <w:rPr>
              <w:rFonts w:ascii="Arial" w:hAnsi="Arial" w:eastAsia="Arial" w:cs="Arial"/>
              <w:b w:val="0"/>
              <w:i w:val="0"/>
              <w:smallCaps w:val="0"/>
              <w:strike w:val="0"/>
              <w:color w:val="003366"/>
              <w:sz w:val="16"/>
              <w:szCs w:val="16"/>
              <w:u w:val="none"/>
              <w:vertAlign w:val="baseline"/>
            </w:rPr>
          </w:pPr>
          <w:r>
            <w:rPr>
              <w:rFonts w:ascii="Arial" w:hAnsi="Arial" w:eastAsia="Arial" w:cs="Arial"/>
              <w:b w:val="0"/>
              <w:i w:val="0"/>
              <w:smallCaps w:val="0"/>
              <w:strike w:val="0"/>
              <w:color w:val="003366"/>
              <w:sz w:val="16"/>
              <w:szCs w:val="16"/>
              <w:u w:val="none"/>
              <w:vertAlign w:val="baseline"/>
            </w:rPr>
            <w:t>Instagram: @scge_pe</w:t>
          </w:r>
        </w:p>
      </w:tc>
    </w:tr>
  </w:tbl>
  <w:p>
    <w:pPr>
      <w:keepNext/>
      <w:keepLines w:val="0"/>
      <w:widowControl w:val="0"/>
      <w:shd w:val="clear" w:fill="FFFFFF"/>
      <w:tabs>
        <w:tab w:val="center" w:pos="4819"/>
        <w:tab w:val="right" w:pos="9638"/>
      </w:tabs>
      <w:spacing w:before="0" w:after="0" w:line="240" w:lineRule="auto"/>
      <w:ind w:left="0" w:right="0" w:firstLine="0"/>
      <w:jc w:val="center"/>
      <w:rPr>
        <w:rFonts w:ascii="Arial" w:hAnsi="Arial" w:eastAsia="Arial" w:cs="Arial"/>
        <w:b/>
        <w:i w:val="0"/>
        <w:smallCaps w:val="0"/>
        <w:strike w:val="0"/>
        <w:color w:val="004586"/>
        <w:sz w:val="16"/>
        <w:szCs w:val="16"/>
        <w:u w:val="none"/>
        <w:vertAlign w:val="base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center" w:pos="4819"/>
        <w:tab w:val="right" w:pos="9638"/>
      </w:tabs>
      <w:jc w:val="center"/>
      <w:rPr>
        <w:rFonts w:ascii="Times New Roman" w:hAnsi="Times New Roman" w:eastAsia="Times New Roman" w:cs="Times New Roman"/>
      </w:rPr>
    </w:pPr>
  </w:p>
  <w:p>
    <w:pPr>
      <w:tabs>
        <w:tab w:val="center" w:pos="4819"/>
        <w:tab w:val="right" w:pos="9638"/>
      </w:tabs>
      <w:jc w:val="center"/>
      <w:rPr>
        <w:rFonts w:ascii="Times New Roman" w:hAnsi="Times New Roman" w:eastAsia="Times New Roman" w:cs="Times New Roman"/>
        <w:b w:val="0"/>
        <w:i w:val="0"/>
        <w:smallCaps w:val="0"/>
        <w:strike w:val="0"/>
        <w:color w:val="000000"/>
        <w:sz w:val="24"/>
        <w:szCs w:val="24"/>
        <w:u w:val="none"/>
        <w:vertAlign w:val="baseline"/>
      </w:rPr>
    </w:pPr>
    <w:r>
      <w:rPr>
        <w:rFonts w:ascii="Times New Roman" w:hAnsi="Times New Roman" w:eastAsia="Times New Roman" w:cs="Times New Roman"/>
      </w:rPr>
      <w:drawing>
        <wp:inline distT="114300" distB="114300" distL="114300" distR="114300">
          <wp:extent cx="3401060" cy="746760"/>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2" name="image2.jpg"/>
                  <pic:cNvPicPr preferRelativeResize="0"/>
                </pic:nvPicPr>
                <pic:blipFill>
                  <a:blip r:embed="rId1"/>
                  <a:srcRect/>
                  <a:stretch>
                    <a:fillRect/>
                  </a:stretch>
                </pic:blipFill>
                <pic:spPr>
                  <a:xfrm>
                    <a:off x="0" y="0"/>
                    <a:ext cx="3401378" cy="746777"/>
                  </a:xfrm>
                  <a:prstGeom prst="rect">
                    <a:avLst/>
                  </a:prstGeom>
                </pic:spPr>
              </pic:pic>
            </a:graphicData>
          </a:graphic>
        </wp:inline>
      </w:drawing>
    </w:r>
  </w:p>
  <w:p>
    <w:pPr>
      <w:keepNext/>
      <w:keepLines w:val="0"/>
      <w:widowControl w:val="0"/>
      <w:shd w:val="clear" w:fill="FFFFFF"/>
      <w:tabs>
        <w:tab w:val="center" w:pos="4819"/>
        <w:tab w:val="right" w:pos="9638"/>
      </w:tabs>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vertAlign w:val="baseli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59131950">
    <w:nsid w:val="5CEE772E"/>
    <w:multiLevelType w:val="multilevel"/>
    <w:tmpl w:val="5CEE772E"/>
    <w:lvl w:ilvl="0" w:tentative="1">
      <w:start w:val="1"/>
      <w:numFmt w:val="decimal"/>
      <w:lvlText w:val="%1."/>
      <w:lvlJc w:val="left"/>
      <w:pPr>
        <w:ind w:left="108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59131961">
    <w:nsid w:val="5CEE7739"/>
    <w:multiLevelType w:val="multilevel"/>
    <w:tmpl w:val="5CEE7739"/>
    <w:lvl w:ilvl="0" w:tentative="1">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59131950"/>
  </w:num>
  <w:num w:numId="2">
    <w:abstractNumId w:val="15591319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ompat>
    <w:compatSetting w:name="compatibilityMode" w:uri="http://schemas.microsoft.com/office/word" w:val="15"/>
  </w:compat>
  <w:rsids>
    <w:rsidRoot w:val="00000000"/>
    <w:rsid w:val="3FFDA0E5"/>
    <w:rsid w:val="6FBFBEAC"/>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Calibri"/>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widowControl w:val="0"/>
      <w:shd w:val="clear" w:fill="FFFFFF"/>
    </w:pPr>
    <w:rPr>
      <w:rFonts w:ascii="Calibri" w:hAnsi="Calibri" w:eastAsia="Calibri" w:cs="Calibri"/>
      <w:sz w:val="24"/>
      <w:szCs w:val="24"/>
      <w:lang w:val="pt-BR"/>
    </w:rPr>
  </w:style>
  <w:style w:type="paragraph" w:styleId="2">
    <w:name w:val="heading 1"/>
    <w:basedOn w:val="1"/>
    <w:next w:val="1"/>
    <w:uiPriority w:val="0"/>
    <w:pPr>
      <w:keepNext/>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120" w:line="240" w:lineRule="auto"/>
      <w:ind w:left="432" w:right="0" w:hanging="432"/>
      <w:jc w:val="left"/>
    </w:pPr>
    <w:rPr>
      <w:rFonts w:ascii="Arial" w:hAnsi="Arial" w:eastAsia="Arial" w:cs="Arial"/>
      <w:b/>
      <w:color w:val="000000"/>
      <w:sz w:val="36"/>
      <w:szCs w:val="36"/>
      <w:u w:val="none"/>
      <w:shd w:val="clear" w:fill="auto"/>
      <w:vertAlign w:val="baseline"/>
    </w:rPr>
  </w:style>
  <w:style w:type="paragraph" w:styleId="3">
    <w:name w:val="heading 2"/>
    <w:basedOn w:val="1"/>
    <w:next w:val="1"/>
    <w:uiPriority w:val="0"/>
    <w:pPr>
      <w:keepNext/>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120" w:line="240" w:lineRule="auto"/>
      <w:ind w:left="576" w:right="0" w:hanging="576"/>
      <w:jc w:val="left"/>
    </w:pPr>
    <w:rPr>
      <w:rFonts w:ascii="Arial" w:hAnsi="Arial" w:eastAsia="Arial" w:cs="Arial"/>
      <w:b/>
      <w:color w:val="000000"/>
      <w:sz w:val="32"/>
      <w:szCs w:val="32"/>
      <w:u w:val="none"/>
      <w:shd w:val="clear" w:fill="auto"/>
      <w:vertAlign w:val="baseline"/>
    </w:rPr>
  </w:style>
  <w:style w:type="paragraph" w:styleId="4">
    <w:name w:val="heading 3"/>
    <w:basedOn w:val="1"/>
    <w:next w:val="1"/>
    <w:uiPriority w:val="0"/>
    <w:pPr>
      <w:keepNext/>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140" w:after="120" w:line="240" w:lineRule="auto"/>
      <w:ind w:left="720" w:right="0" w:hanging="720"/>
      <w:jc w:val="left"/>
    </w:pPr>
    <w:rPr>
      <w:rFonts w:ascii="Arial" w:hAnsi="Arial" w:eastAsia="Arial" w:cs="Arial"/>
      <w:b/>
      <w:color w:val="000000"/>
      <w:sz w:val="28"/>
      <w:szCs w:val="28"/>
      <w:u w:val="none"/>
      <w:shd w:val="clear" w:fill="auto"/>
      <w:vertAlign w:val="baseline"/>
    </w:rPr>
  </w:style>
  <w:style w:type="paragraph" w:styleId="5">
    <w:name w:val="heading 4"/>
    <w:basedOn w:val="1"/>
    <w:next w:val="1"/>
    <w:uiPriority w:val="0"/>
    <w:pPr>
      <w:keepNext/>
      <w:keepLines/>
      <w:widowControl/>
      <w:pBdr>
        <w:top w:val="none" w:color="auto" w:sz="0" w:space="0"/>
        <w:left w:val="none" w:color="auto" w:sz="0" w:space="0"/>
        <w:bottom w:val="none" w:color="auto" w:sz="0" w:space="0"/>
        <w:right w:val="none" w:color="auto" w:sz="0" w:space="0"/>
        <w:between w:val="none" w:color="auto" w:sz="0" w:space="0"/>
      </w:pBdr>
      <w:shd w:val="clear" w:fill="auto"/>
      <w:spacing w:before="240" w:after="40" w:line="240" w:lineRule="auto"/>
      <w:ind w:left="0" w:right="0" w:firstLine="0"/>
      <w:jc w:val="left"/>
    </w:pPr>
    <w:rPr>
      <w:rFonts w:ascii="Calibri" w:hAnsi="Calibri" w:eastAsia="Calibri" w:cs="Calibri"/>
      <w:b/>
      <w:color w:val="000000"/>
      <w:sz w:val="24"/>
      <w:szCs w:val="24"/>
      <w:u w:val="none"/>
      <w:shd w:val="clear" w:fill="auto"/>
      <w:vertAlign w:val="baseline"/>
    </w:rPr>
  </w:style>
  <w:style w:type="paragraph" w:styleId="6">
    <w:name w:val="heading 5"/>
    <w:basedOn w:val="1"/>
    <w:next w:val="1"/>
    <w:uiPriority w:val="0"/>
    <w:pPr>
      <w:keepNext/>
      <w:keepLines/>
      <w:widowControl/>
      <w:pBdr>
        <w:top w:val="none" w:color="auto" w:sz="0" w:space="0"/>
        <w:left w:val="none" w:color="auto" w:sz="0" w:space="0"/>
        <w:bottom w:val="none" w:color="auto" w:sz="0" w:space="0"/>
        <w:right w:val="none" w:color="auto" w:sz="0" w:space="0"/>
        <w:between w:val="none" w:color="auto" w:sz="0" w:space="0"/>
      </w:pBdr>
      <w:shd w:val="clear" w:fill="auto"/>
      <w:spacing w:before="220" w:after="40" w:line="240" w:lineRule="auto"/>
      <w:ind w:left="0" w:right="0" w:firstLine="0"/>
      <w:jc w:val="left"/>
    </w:pPr>
    <w:rPr>
      <w:rFonts w:ascii="Calibri" w:hAnsi="Calibri" w:eastAsia="Calibri" w:cs="Calibri"/>
      <w:b/>
      <w:color w:val="000000"/>
      <w:sz w:val="22"/>
      <w:szCs w:val="22"/>
      <w:u w:val="none"/>
      <w:shd w:val="clear" w:fill="auto"/>
      <w:vertAlign w:val="baseline"/>
    </w:rPr>
  </w:style>
  <w:style w:type="paragraph" w:styleId="7">
    <w:name w:val="heading 6"/>
    <w:basedOn w:val="1"/>
    <w:next w:val="1"/>
    <w:uiPriority w:val="0"/>
    <w:pPr>
      <w:keepNext/>
      <w:keepLines/>
      <w:widowControl/>
      <w:pBdr>
        <w:top w:val="none" w:color="auto" w:sz="0" w:space="0"/>
        <w:left w:val="none" w:color="auto" w:sz="0" w:space="0"/>
        <w:bottom w:val="none" w:color="auto" w:sz="0" w:space="0"/>
        <w:right w:val="none" w:color="auto" w:sz="0" w:space="0"/>
        <w:between w:val="none" w:color="auto" w:sz="0" w:space="0"/>
      </w:pBdr>
      <w:shd w:val="clear" w:fill="auto"/>
      <w:spacing w:before="200" w:after="40" w:line="240" w:lineRule="auto"/>
      <w:ind w:left="0" w:right="0" w:firstLine="0"/>
      <w:jc w:val="left"/>
    </w:pPr>
    <w:rPr>
      <w:rFonts w:ascii="Calibri" w:hAnsi="Calibri" w:eastAsia="Calibri" w:cs="Calibri"/>
      <w:b/>
      <w:color w:val="000000"/>
      <w:sz w:val="20"/>
      <w:szCs w:val="20"/>
      <w:u w:val="none"/>
      <w:shd w:val="clear" w:fill="auto"/>
      <w:vertAlign w:val="baseline"/>
    </w:rPr>
  </w:style>
  <w:style w:type="character" w:default="1" w:styleId="10">
    <w:name w:val="Default Paragraph Font"/>
    <w:semiHidden/>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8">
    <w:name w:val="Subtitle"/>
    <w:basedOn w:val="1"/>
    <w:next w:val="1"/>
    <w:uiPriority w:val="0"/>
    <w:pPr>
      <w:keepNext/>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120" w:line="240" w:lineRule="auto"/>
      <w:ind w:left="0" w:right="0" w:firstLine="0"/>
      <w:jc w:val="center"/>
    </w:pPr>
    <w:rPr>
      <w:rFonts w:ascii="Arial" w:hAnsi="Arial" w:eastAsia="Arial" w:cs="Arial"/>
      <w:i/>
      <w:color w:val="000000"/>
      <w:sz w:val="28"/>
      <w:szCs w:val="28"/>
      <w:u w:val="none"/>
      <w:shd w:val="clear" w:fill="auto"/>
      <w:vertAlign w:val="baseline"/>
    </w:rPr>
  </w:style>
  <w:style w:type="paragraph" w:styleId="9">
    <w:name w:val="Title"/>
    <w:basedOn w:val="1"/>
    <w:next w:val="1"/>
    <w:uiPriority w:val="0"/>
    <w:pPr>
      <w:keepNext/>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120" w:line="240" w:lineRule="auto"/>
      <w:ind w:left="0" w:right="0" w:firstLine="0"/>
      <w:jc w:val="center"/>
    </w:pPr>
    <w:rPr>
      <w:rFonts w:ascii="Arial" w:hAnsi="Arial" w:eastAsia="Arial" w:cs="Arial"/>
      <w:b/>
      <w:color w:val="000000"/>
      <w:sz w:val="56"/>
      <w:szCs w:val="56"/>
      <w:u w:val="none"/>
      <w:shd w:val="clear" w:fill="auto"/>
      <w:vertAlign w:val="baseline"/>
    </w:rPr>
  </w:style>
  <w:style w:type="table" w:customStyle="1" w:styleId="12">
    <w:name w:val="Table Normal1"/>
    <w:uiPriority w:val="0"/>
  </w:style>
  <w:style w:type="table" w:customStyle="1" w:styleId="13">
    <w:name w:val="_Style 10"/>
    <w:basedOn w:val="12"/>
    <w:uiPriority w:val="0"/>
    <w:tblPr>
      <w:tblLayout w:type="fixed"/>
      <w:tblCellMar>
        <w:top w:w="100" w:type="dxa"/>
        <w:left w:w="100" w:type="dxa"/>
        <w:bottom w:w="100" w:type="dxa"/>
        <w:right w:w="100" w:type="dxa"/>
      </w:tblCellMar>
    </w:tblPr>
  </w:style>
  <w:style w:type="table" w:customStyle="1" w:styleId="14">
    <w:name w:val="_Style 11"/>
    <w:basedOn w:val="12"/>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313739"/>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 Community_10.1.0.5672_F1E327BC-269C-435d-A152-05C5408002CA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2019-05-29T09:10:27Z</dcterms:created>
  <dc:creator>cristiane.a-ferreira</dc:creator>
  <cp:lastModifiedBy>cristiane.a-ferreira</cp:lastModifiedBy>
  <dcterms:modified xsi:type="dcterms:W3CDTF">2019-05-29T09:10:59Z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1046-10.1.0.5672</vt:lpwstr>
  </property>
</Properties>
</file>