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36"/>
        </w:tabs>
        <w:spacing w:before="0" w:after="0"/>
        <w:jc w:val="center"/>
        <w:rPr>
          <w:rFonts w:ascii="Klavika Lt" w:hAnsi="Klavika Lt" w:eastAsia="Klavika Lt" w:cs="Klavika Lt"/>
          <w:color w:val="222222"/>
        </w:rPr>
      </w:pPr>
      <w:bookmarkStart w:id="6" w:name="_GoBack"/>
      <w:bookmarkEnd w:id="6"/>
    </w:p>
    <w:p>
      <w:pPr>
        <w:tabs>
          <w:tab w:val="left" w:pos="1636"/>
        </w:tabs>
        <w:spacing w:before="0" w:after="0"/>
        <w:jc w:val="center"/>
        <w:rPr>
          <w:rFonts w:ascii="Klavika Lt" w:hAnsi="Klavika Lt" w:eastAsia="Klavika Lt" w:cs="Klavika Lt"/>
          <w:color w:val="222222"/>
        </w:rPr>
      </w:pPr>
    </w:p>
    <w:p>
      <w:pPr>
        <w:spacing w:before="120" w:after="120" w:line="360" w:lineRule="auto"/>
        <w:jc w:val="center"/>
        <w:rPr>
          <w:rFonts w:ascii="Arial" w:hAnsi="Arial" w:eastAsia="Arial" w:cs="Arial"/>
          <w:b/>
          <w:sz w:val="28"/>
          <w:szCs w:val="28"/>
        </w:rPr>
      </w:pPr>
      <w:r>
        <w:rPr>
          <w:rFonts w:ascii="Arial" w:hAnsi="Arial" w:eastAsia="Arial" w:cs="Arial"/>
          <w:b/>
          <w:sz w:val="28"/>
          <w:szCs w:val="28"/>
        </w:rPr>
        <w:t>REGIMENTO INTERNO DO COMITÊ DE AUDITORIA ESTATUTÁRIO</w:t>
      </w:r>
    </w:p>
    <w:p>
      <w:pPr>
        <w:spacing w:before="120" w:after="120" w:line="360" w:lineRule="auto"/>
        <w:jc w:val="center"/>
        <w:rPr>
          <w:rFonts w:ascii="Arial" w:hAnsi="Arial" w:eastAsia="Arial" w:cs="Arial"/>
          <w:b/>
          <w:sz w:val="28"/>
          <w:szCs w:val="28"/>
        </w:rPr>
      </w:pPr>
    </w:p>
    <w:p>
      <w:pPr>
        <w:keepNext/>
        <w:shd w:val="clear" w:fill="FFFFFF"/>
        <w:spacing w:before="0" w:after="0"/>
        <w:jc w:val="both"/>
      </w:pPr>
      <w:r>
        <w:rPr>
          <w:rFonts w:ascii="Arial" w:hAnsi="Arial" w:eastAsia="Arial" w:cs="Arial"/>
        </w:rPr>
        <w:t xml:space="preserve">Este documento teve por referência os Modelos disponibilizados pelo </w:t>
      </w:r>
      <w:r>
        <w:rPr>
          <w:rFonts w:ascii="Arial" w:hAnsi="Arial" w:eastAsia="Arial" w:cs="Arial"/>
          <w:color w:val="00000A"/>
        </w:rPr>
        <w:t>Ministério da Economia</w:t>
      </w:r>
      <w:r>
        <w:rPr>
          <w:rFonts w:ascii="Arial" w:hAnsi="Arial" w:eastAsia="Arial" w:cs="Arial"/>
        </w:rPr>
        <w:t xml:space="preserve"> e pela Controladoria de Santa Catarina, sendo este último definido como referencial às Controladorias de todo o Brasil em entendimento à deliberação proferida na 26</w:t>
      </w:r>
      <w:r>
        <w:rPr>
          <w:rFonts w:ascii="Arial" w:hAnsi="Arial" w:eastAsia="Arial" w:cs="Arial"/>
          <w:vertAlign w:val="superscript"/>
        </w:rPr>
        <w:t>a</w:t>
      </w:r>
      <w:r>
        <w:rPr>
          <w:rFonts w:ascii="Arial" w:hAnsi="Arial" w:eastAsia="Arial" w:cs="Arial"/>
        </w:rPr>
        <w:t xml:space="preserve"> Reunião Técnica do CONACI (Conselho Nacional de Controle Interno), ocorrido em 12 e 13 de abril de 2018, em Recife/PE.</w:t>
      </w:r>
    </w:p>
    <w:p>
      <w:pPr>
        <w:tabs>
          <w:tab w:val="left" w:pos="1134"/>
        </w:tabs>
        <w:spacing w:before="120" w:after="120" w:line="360" w:lineRule="auto"/>
        <w:ind w:left="0" w:right="0" w:firstLine="0"/>
        <w:jc w:val="both"/>
        <w:rPr>
          <w:rFonts w:ascii="Arial" w:hAnsi="Arial" w:eastAsia="Arial" w:cs="Arial"/>
        </w:rPr>
      </w:pPr>
    </w:p>
    <w:p>
      <w:pPr>
        <w:tabs>
          <w:tab w:val="left" w:pos="1134"/>
        </w:tabs>
        <w:spacing w:before="120" w:after="120" w:line="360" w:lineRule="auto"/>
        <w:ind w:left="0" w:right="0" w:firstLine="0"/>
        <w:jc w:val="both"/>
        <w:rPr>
          <w:rFonts w:ascii="Arial" w:hAnsi="Arial" w:eastAsia="Arial" w:cs="Arial"/>
        </w:rPr>
      </w:pPr>
      <w:r>
        <w:rPr>
          <w:rFonts w:ascii="Arial" w:hAnsi="Arial" w:eastAsia="Arial" w:cs="Arial"/>
          <w:b/>
        </w:rPr>
        <w:t xml:space="preserve">Base Legal: </w:t>
      </w:r>
      <w:r>
        <w:rPr>
          <w:rFonts w:ascii="Arial" w:hAnsi="Arial" w:eastAsia="Arial" w:cs="Arial"/>
        </w:rPr>
        <w:t>Lei Federal nº 13.303/2016, Art. 13, Inciso V.</w:t>
      </w:r>
    </w:p>
    <w:p>
      <w:pPr>
        <w:tabs>
          <w:tab w:val="left" w:pos="1134"/>
        </w:tabs>
        <w:spacing w:before="120" w:after="120"/>
        <w:jc w:val="both"/>
        <w:rPr>
          <w:rFonts w:ascii="Arial" w:hAnsi="Arial" w:eastAsia="Arial" w:cs="Arial"/>
        </w:rPr>
      </w:pPr>
      <w:r>
        <w:rPr>
          <w:rFonts w:ascii="Arial" w:hAnsi="Arial" w:eastAsia="Arial" w:cs="Arial"/>
          <w:b/>
        </w:rPr>
        <w:t>Observação:</w:t>
      </w:r>
      <w:r>
        <w:rPr>
          <w:rFonts w:ascii="Arial" w:hAnsi="Arial" w:eastAsia="Arial" w:cs="Arial"/>
        </w:rPr>
        <w:t xml:space="preserve"> A criação de Comitê de Auditoria Estatutário não é obrigatória para as Estatais com Receita Operacional Bruta (ROB) inferior a R$ 90 milhões, conforme Decreto Estadual nº 43.984/2016.</w:t>
      </w:r>
    </w:p>
    <w:p>
      <w:pPr>
        <w:tabs>
          <w:tab w:val="left" w:pos="1134"/>
        </w:tabs>
        <w:spacing w:before="120" w:after="120" w:line="360" w:lineRule="auto"/>
        <w:ind w:left="0" w:right="0" w:firstLine="0"/>
        <w:jc w:val="both"/>
        <w:rPr>
          <w:rFonts w:ascii="Arial" w:hAnsi="Arial" w:eastAsia="Arial" w:cs="Arial"/>
        </w:rPr>
      </w:pPr>
    </w:p>
    <w:p>
      <w:pPr>
        <w:tabs>
          <w:tab w:val="left" w:pos="1134"/>
        </w:tabs>
        <w:spacing w:before="120" w:after="120" w:line="360" w:lineRule="auto"/>
        <w:ind w:left="0" w:right="0" w:firstLine="0"/>
        <w:jc w:val="both"/>
        <w:rPr>
          <w:rFonts w:ascii="Arial" w:hAnsi="Arial" w:eastAsia="Arial" w:cs="Arial"/>
          <w:b/>
        </w:rPr>
      </w:pPr>
      <w:r>
        <w:br w:type="page"/>
      </w:r>
    </w:p>
    <w:p>
      <w:pPr>
        <w:tabs>
          <w:tab w:val="left" w:pos="1134"/>
        </w:tabs>
        <w:spacing w:before="120" w:after="120" w:line="360" w:lineRule="auto"/>
        <w:ind w:left="0" w:right="0" w:firstLine="0"/>
        <w:jc w:val="center"/>
        <w:rPr>
          <w:rFonts w:ascii="Arial" w:hAnsi="Arial" w:eastAsia="Arial" w:cs="Arial"/>
          <w:b/>
        </w:rPr>
      </w:pPr>
      <w:r>
        <w:rPr>
          <w:rFonts w:ascii="Arial" w:hAnsi="Arial" w:eastAsia="Arial" w:cs="Arial"/>
          <w:b/>
        </w:rPr>
        <w:t>SUMÁRIO</w:t>
      </w:r>
    </w:p>
    <w:p>
      <w:pPr>
        <w:spacing w:before="120" w:after="120" w:line="360" w:lineRule="auto"/>
        <w:jc w:val="both"/>
      </w:pPr>
    </w:p>
    <w:p>
      <w:pPr>
        <w:keepNext w:val="0"/>
        <w:keepLines w:val="0"/>
        <w:widowControl w:val="0"/>
        <w:tabs>
          <w:tab w:val="right" w:pos="9345"/>
        </w:tabs>
        <w:spacing w:before="120" w:after="120" w:line="360" w:lineRule="auto"/>
        <w:ind w:left="0" w:right="0" w:firstLine="0"/>
        <w:jc w:val="both"/>
      </w:pPr>
      <w:r>
        <w:fldChar w:fldCharType="begin"/>
      </w:r>
      <w:r>
        <w:instrText xml:space="preserve"> HYPERLINK \l "_3dy6vkm" \h </w:instrText>
      </w:r>
      <w:r>
        <w:fldChar w:fldCharType="separate"/>
      </w:r>
      <w:r>
        <w:rPr>
          <w:rFonts w:ascii="Arial" w:hAnsi="Arial" w:eastAsia="Arial" w:cs="Arial"/>
          <w:b/>
          <w:i w:val="0"/>
          <w:smallCaps w:val="0"/>
          <w:strike w:val="0"/>
          <w:color w:val="000000"/>
          <w:sz w:val="24"/>
          <w:szCs w:val="24"/>
          <w:u w:val="none"/>
          <w:vertAlign w:val="baseline"/>
        </w:rPr>
        <w:t>CAPÍTULO I – DO OBJETO</w:t>
      </w:r>
      <w:r>
        <w:rPr>
          <w:rFonts w:ascii="Arial" w:hAnsi="Arial" w:eastAsia="Arial" w:cs="Arial"/>
          <w:b/>
          <w:i w:val="0"/>
          <w:smallCaps w:val="0"/>
          <w:strike w:val="0"/>
          <w:color w:val="000000"/>
          <w:sz w:val="24"/>
          <w:szCs w:val="24"/>
          <w:u w:val="none"/>
          <w:vertAlign w:val="baseline"/>
        </w:rPr>
        <w:fldChar w:fldCharType="end"/>
      </w:r>
      <w:r>
        <w:fldChar w:fldCharType="begin"/>
      </w:r>
      <w:r>
        <w:instrText xml:space="preserve"> HYPERLINK \l "_3dy6vkm" \h </w:instrText>
      </w:r>
      <w:r>
        <w:fldChar w:fldCharType="separate"/>
      </w:r>
      <w:r>
        <w:rPr>
          <w:rFonts w:ascii="Arial" w:hAnsi="Arial" w:eastAsia="Arial" w:cs="Arial"/>
          <w:b w:val="0"/>
          <w:i w:val="0"/>
          <w:smallCaps w:val="0"/>
          <w:strike w:val="0"/>
          <w:color w:val="000000"/>
          <w:sz w:val="24"/>
          <w:szCs w:val="24"/>
          <w:u w:val="none"/>
          <w:vertAlign w:val="baseline"/>
        </w:rPr>
        <w:tab/>
      </w:r>
      <w:r>
        <w:rPr>
          <w:rFonts w:ascii="Arial" w:hAnsi="Arial" w:eastAsia="Arial" w:cs="Arial"/>
          <w:b w:val="0"/>
          <w:i w:val="0"/>
          <w:smallCaps w:val="0"/>
          <w:strike w:val="0"/>
          <w:color w:val="000000"/>
          <w:sz w:val="24"/>
          <w:szCs w:val="24"/>
          <w:u w:val="none"/>
          <w:vertAlign w:val="baseline"/>
        </w:rPr>
        <w:fldChar w:fldCharType="end"/>
      </w:r>
    </w:p>
    <w:p>
      <w:pPr>
        <w:keepNext w:val="0"/>
        <w:keepLines w:val="0"/>
        <w:widowControl w:val="0"/>
        <w:tabs>
          <w:tab w:val="right" w:pos="9345"/>
        </w:tabs>
        <w:spacing w:before="120" w:after="120" w:line="360" w:lineRule="auto"/>
        <w:ind w:left="0" w:right="0" w:firstLine="0"/>
        <w:jc w:val="both"/>
      </w:pPr>
      <w:r>
        <w:fldChar w:fldCharType="begin"/>
      </w:r>
      <w:r>
        <w:instrText xml:space="preserve"> HYPERLINK \l "_gjdgxs" \h </w:instrText>
      </w:r>
      <w:r>
        <w:fldChar w:fldCharType="separate"/>
      </w:r>
      <w:r>
        <w:rPr>
          <w:rFonts w:ascii="Arial" w:hAnsi="Arial" w:eastAsia="Arial" w:cs="Arial"/>
          <w:b/>
          <w:i w:val="0"/>
          <w:smallCaps w:val="0"/>
          <w:strike w:val="0"/>
          <w:color w:val="000000"/>
          <w:sz w:val="24"/>
          <w:szCs w:val="24"/>
          <w:u w:val="none"/>
          <w:vertAlign w:val="baseline"/>
        </w:rPr>
        <w:t>CAPÍTULO II – DO CONCEITO, FUNCIONAMENTO E COMPOSIÇÃO DO COMITÊ DE AUDITORIA ESTATUTÁRIO</w:t>
      </w:r>
      <w:r>
        <w:rPr>
          <w:rFonts w:ascii="Arial" w:hAnsi="Arial" w:eastAsia="Arial" w:cs="Arial"/>
          <w:b/>
          <w:i w:val="0"/>
          <w:smallCaps w:val="0"/>
          <w:strike w:val="0"/>
          <w:color w:val="000000"/>
          <w:sz w:val="24"/>
          <w:szCs w:val="24"/>
          <w:u w:val="none"/>
          <w:vertAlign w:val="baseline"/>
        </w:rPr>
        <w:fldChar w:fldCharType="end"/>
      </w:r>
      <w:r>
        <w:fldChar w:fldCharType="begin"/>
      </w:r>
      <w:r>
        <w:instrText xml:space="preserve"> HYPERLINK \l "_gjdgxs" \h </w:instrText>
      </w:r>
      <w:r>
        <w:fldChar w:fldCharType="separate"/>
      </w:r>
      <w:r>
        <w:rPr>
          <w:rFonts w:ascii="Arial" w:hAnsi="Arial" w:eastAsia="Arial" w:cs="Arial"/>
          <w:b w:val="0"/>
          <w:i w:val="0"/>
          <w:smallCaps w:val="0"/>
          <w:strike w:val="0"/>
          <w:color w:val="000000"/>
          <w:sz w:val="24"/>
          <w:szCs w:val="24"/>
          <w:u w:val="none"/>
          <w:vertAlign w:val="baseline"/>
        </w:rPr>
        <w:tab/>
      </w:r>
      <w:r>
        <w:rPr>
          <w:rFonts w:ascii="Arial" w:hAnsi="Arial" w:eastAsia="Arial" w:cs="Arial"/>
          <w:b w:val="0"/>
          <w:i w:val="0"/>
          <w:smallCaps w:val="0"/>
          <w:strike w:val="0"/>
          <w:color w:val="000000"/>
          <w:sz w:val="24"/>
          <w:szCs w:val="24"/>
          <w:u w:val="none"/>
          <w:vertAlign w:val="baseline"/>
        </w:rPr>
        <w:fldChar w:fldCharType="end"/>
      </w:r>
    </w:p>
    <w:p>
      <w:pPr>
        <w:keepNext w:val="0"/>
        <w:keepLines w:val="0"/>
        <w:widowControl w:val="0"/>
        <w:tabs>
          <w:tab w:val="right" w:pos="9345"/>
        </w:tabs>
        <w:spacing w:before="120" w:after="120" w:line="360" w:lineRule="auto"/>
        <w:ind w:left="0" w:right="0" w:firstLine="0"/>
        <w:jc w:val="both"/>
      </w:pPr>
      <w:r>
        <w:fldChar w:fldCharType="begin"/>
      </w:r>
      <w:r>
        <w:instrText xml:space="preserve"> HYPERLINK \l "_30j0zll" \h </w:instrText>
      </w:r>
      <w:r>
        <w:fldChar w:fldCharType="separate"/>
      </w:r>
      <w:r>
        <w:rPr>
          <w:rFonts w:ascii="Arial" w:hAnsi="Arial" w:eastAsia="Arial" w:cs="Arial"/>
          <w:b/>
          <w:i w:val="0"/>
          <w:smallCaps w:val="0"/>
          <w:strike w:val="0"/>
          <w:color w:val="000000"/>
          <w:sz w:val="24"/>
          <w:szCs w:val="24"/>
          <w:u w:val="none"/>
          <w:vertAlign w:val="baseline"/>
        </w:rPr>
        <w:t>CAPÍTULO III – DOS REQUISITOS E IMPEDIMENTOS PARA EXERCÍCIO DA FUNÇÃO DE MEMBRO DO COMITÊ DE AUDITORIA ESTATUTÁRIO</w:t>
      </w:r>
      <w:r>
        <w:rPr>
          <w:rFonts w:ascii="Arial" w:hAnsi="Arial" w:eastAsia="Arial" w:cs="Arial"/>
          <w:b/>
          <w:i w:val="0"/>
          <w:smallCaps w:val="0"/>
          <w:strike w:val="0"/>
          <w:color w:val="000000"/>
          <w:sz w:val="24"/>
          <w:szCs w:val="24"/>
          <w:u w:val="none"/>
          <w:vertAlign w:val="baseline"/>
        </w:rPr>
        <w:fldChar w:fldCharType="end"/>
      </w:r>
      <w:r>
        <w:fldChar w:fldCharType="begin"/>
      </w:r>
      <w:r>
        <w:instrText xml:space="preserve"> HYPERLINK \l "_30j0zll" \h </w:instrText>
      </w:r>
      <w:r>
        <w:fldChar w:fldCharType="separate"/>
      </w:r>
      <w:r>
        <w:rPr>
          <w:rFonts w:ascii="Arial" w:hAnsi="Arial" w:eastAsia="Arial" w:cs="Arial"/>
          <w:b w:val="0"/>
          <w:i w:val="0"/>
          <w:smallCaps w:val="0"/>
          <w:strike w:val="0"/>
          <w:color w:val="000000"/>
          <w:sz w:val="24"/>
          <w:szCs w:val="24"/>
          <w:u w:val="none"/>
          <w:vertAlign w:val="baseline"/>
        </w:rPr>
        <w:tab/>
      </w:r>
      <w:r>
        <w:rPr>
          <w:rFonts w:ascii="Arial" w:hAnsi="Arial" w:eastAsia="Arial" w:cs="Arial"/>
          <w:b w:val="0"/>
          <w:i w:val="0"/>
          <w:smallCaps w:val="0"/>
          <w:strike w:val="0"/>
          <w:color w:val="000000"/>
          <w:sz w:val="24"/>
          <w:szCs w:val="24"/>
          <w:u w:val="none"/>
          <w:vertAlign w:val="baseline"/>
        </w:rPr>
        <w:fldChar w:fldCharType="end"/>
      </w:r>
    </w:p>
    <w:p>
      <w:pPr>
        <w:keepNext w:val="0"/>
        <w:keepLines w:val="0"/>
        <w:widowControl w:val="0"/>
        <w:tabs>
          <w:tab w:val="right" w:pos="9345"/>
        </w:tabs>
        <w:spacing w:before="120" w:after="120" w:line="360" w:lineRule="auto"/>
        <w:ind w:left="0" w:right="0" w:firstLine="0"/>
        <w:jc w:val="both"/>
      </w:pPr>
      <w:r>
        <w:fldChar w:fldCharType="begin"/>
      </w:r>
      <w:r>
        <w:instrText xml:space="preserve"> HYPERLINK \l "_1fob9te" \h </w:instrText>
      </w:r>
      <w:r>
        <w:fldChar w:fldCharType="separate"/>
      </w:r>
      <w:r>
        <w:rPr>
          <w:rFonts w:ascii="Arial" w:hAnsi="Arial" w:eastAsia="Arial" w:cs="Arial"/>
          <w:b/>
          <w:i w:val="0"/>
          <w:smallCaps w:val="0"/>
          <w:strike w:val="0"/>
          <w:color w:val="000000"/>
          <w:sz w:val="24"/>
          <w:szCs w:val="24"/>
          <w:u w:val="none"/>
          <w:vertAlign w:val="baseline"/>
        </w:rPr>
        <w:t>CAPÍTULO IV – DA COORDENAÇÃO, REUNIÕES E DELIBERAÇÕES</w:t>
      </w:r>
      <w:r>
        <w:rPr>
          <w:rFonts w:ascii="Arial" w:hAnsi="Arial" w:eastAsia="Arial" w:cs="Arial"/>
          <w:b/>
          <w:i w:val="0"/>
          <w:smallCaps w:val="0"/>
          <w:strike w:val="0"/>
          <w:color w:val="000000"/>
          <w:sz w:val="24"/>
          <w:szCs w:val="24"/>
          <w:u w:val="none"/>
          <w:vertAlign w:val="baseline"/>
        </w:rPr>
        <w:fldChar w:fldCharType="end"/>
      </w:r>
      <w:r>
        <w:fldChar w:fldCharType="begin"/>
      </w:r>
      <w:r>
        <w:instrText xml:space="preserve"> HYPERLINK \l "_1fob9te" \h </w:instrText>
      </w:r>
      <w:r>
        <w:fldChar w:fldCharType="separate"/>
      </w:r>
      <w:r>
        <w:rPr>
          <w:rFonts w:ascii="Arial" w:hAnsi="Arial" w:eastAsia="Arial" w:cs="Arial"/>
          <w:b w:val="0"/>
          <w:i w:val="0"/>
          <w:smallCaps w:val="0"/>
          <w:strike w:val="0"/>
          <w:color w:val="000000"/>
          <w:sz w:val="24"/>
          <w:szCs w:val="24"/>
          <w:u w:val="none"/>
          <w:vertAlign w:val="baseline"/>
        </w:rPr>
        <w:tab/>
      </w:r>
      <w:r>
        <w:rPr>
          <w:rFonts w:ascii="Arial" w:hAnsi="Arial" w:eastAsia="Arial" w:cs="Arial"/>
          <w:b w:val="0"/>
          <w:i w:val="0"/>
          <w:smallCaps w:val="0"/>
          <w:strike w:val="0"/>
          <w:color w:val="000000"/>
          <w:sz w:val="24"/>
          <w:szCs w:val="24"/>
          <w:u w:val="none"/>
          <w:vertAlign w:val="baseline"/>
        </w:rPr>
        <w:fldChar w:fldCharType="end"/>
      </w:r>
    </w:p>
    <w:p>
      <w:pPr>
        <w:keepNext w:val="0"/>
        <w:keepLines w:val="0"/>
        <w:widowControl w:val="0"/>
        <w:tabs>
          <w:tab w:val="right" w:pos="9345"/>
        </w:tabs>
        <w:spacing w:before="120" w:after="120" w:line="360" w:lineRule="auto"/>
        <w:ind w:left="0" w:right="0" w:firstLine="0"/>
        <w:jc w:val="both"/>
      </w:pPr>
      <w:r>
        <w:fldChar w:fldCharType="begin"/>
      </w:r>
      <w:r>
        <w:instrText xml:space="preserve"> HYPERLINK \l "_3znysh7" \h </w:instrText>
      </w:r>
      <w:r>
        <w:fldChar w:fldCharType="separate"/>
      </w:r>
      <w:r>
        <w:rPr>
          <w:rFonts w:ascii="Arial" w:hAnsi="Arial" w:eastAsia="Arial" w:cs="Arial"/>
          <w:b/>
          <w:i w:val="0"/>
          <w:smallCaps w:val="0"/>
          <w:strike w:val="0"/>
          <w:color w:val="000000"/>
          <w:sz w:val="24"/>
          <w:szCs w:val="24"/>
          <w:u w:val="none"/>
          <w:vertAlign w:val="baseline"/>
        </w:rPr>
        <w:t>CAPÍTULO V – DO APOIO E ASSESSORAMENTO</w:t>
      </w:r>
      <w:r>
        <w:rPr>
          <w:rFonts w:ascii="Arial" w:hAnsi="Arial" w:eastAsia="Arial" w:cs="Arial"/>
          <w:b/>
          <w:i w:val="0"/>
          <w:smallCaps w:val="0"/>
          <w:strike w:val="0"/>
          <w:color w:val="000000"/>
          <w:sz w:val="24"/>
          <w:szCs w:val="24"/>
          <w:u w:val="none"/>
          <w:vertAlign w:val="baseline"/>
        </w:rPr>
        <w:fldChar w:fldCharType="end"/>
      </w:r>
      <w:r>
        <w:fldChar w:fldCharType="begin"/>
      </w:r>
      <w:r>
        <w:instrText xml:space="preserve"> HYPERLINK \l "_3znysh7" \h </w:instrText>
      </w:r>
      <w:r>
        <w:fldChar w:fldCharType="separate"/>
      </w:r>
      <w:r>
        <w:rPr>
          <w:rFonts w:ascii="Arial" w:hAnsi="Arial" w:eastAsia="Arial" w:cs="Arial"/>
          <w:b w:val="0"/>
          <w:i w:val="0"/>
          <w:smallCaps w:val="0"/>
          <w:strike w:val="0"/>
          <w:color w:val="000000"/>
          <w:sz w:val="24"/>
          <w:szCs w:val="24"/>
          <w:u w:val="none"/>
          <w:vertAlign w:val="baseline"/>
        </w:rPr>
        <w:tab/>
      </w:r>
      <w:r>
        <w:rPr>
          <w:rFonts w:ascii="Arial" w:hAnsi="Arial" w:eastAsia="Arial" w:cs="Arial"/>
          <w:b w:val="0"/>
          <w:i w:val="0"/>
          <w:smallCaps w:val="0"/>
          <w:strike w:val="0"/>
          <w:color w:val="000000"/>
          <w:sz w:val="24"/>
          <w:szCs w:val="24"/>
          <w:u w:val="none"/>
          <w:vertAlign w:val="baseline"/>
        </w:rPr>
        <w:fldChar w:fldCharType="end"/>
      </w:r>
    </w:p>
    <w:p>
      <w:pPr>
        <w:keepNext w:val="0"/>
        <w:keepLines w:val="0"/>
        <w:widowControl w:val="0"/>
        <w:tabs>
          <w:tab w:val="right" w:pos="9345"/>
        </w:tabs>
        <w:spacing w:before="120" w:after="120" w:line="360" w:lineRule="auto"/>
        <w:ind w:left="0" w:right="0" w:firstLine="0"/>
        <w:jc w:val="both"/>
      </w:pPr>
      <w:r>
        <w:fldChar w:fldCharType="begin"/>
      </w:r>
      <w:r>
        <w:instrText xml:space="preserve"> HYPERLINK \l "_2et92p0" \h </w:instrText>
      </w:r>
      <w:r>
        <w:fldChar w:fldCharType="separate"/>
      </w:r>
      <w:r>
        <w:rPr>
          <w:rFonts w:ascii="Arial" w:hAnsi="Arial" w:eastAsia="Arial" w:cs="Arial"/>
          <w:b/>
          <w:i w:val="0"/>
          <w:smallCaps w:val="0"/>
          <w:strike w:val="0"/>
          <w:color w:val="000000"/>
          <w:sz w:val="24"/>
          <w:szCs w:val="24"/>
          <w:u w:val="none"/>
          <w:vertAlign w:val="baseline"/>
        </w:rPr>
        <w:t>CAPÍTULO VI – DAS RESPONSABILIDADES E DEVERES</w:t>
      </w:r>
      <w:r>
        <w:rPr>
          <w:rFonts w:ascii="Arial" w:hAnsi="Arial" w:eastAsia="Arial" w:cs="Arial"/>
          <w:b/>
          <w:i w:val="0"/>
          <w:smallCaps w:val="0"/>
          <w:strike w:val="0"/>
          <w:color w:val="000000"/>
          <w:sz w:val="24"/>
          <w:szCs w:val="24"/>
          <w:u w:val="none"/>
          <w:vertAlign w:val="baseline"/>
        </w:rPr>
        <w:fldChar w:fldCharType="end"/>
      </w:r>
      <w:r>
        <w:fldChar w:fldCharType="begin"/>
      </w:r>
      <w:r>
        <w:instrText xml:space="preserve"> HYPERLINK \l "_2et92p0" \h </w:instrText>
      </w:r>
      <w:r>
        <w:fldChar w:fldCharType="separate"/>
      </w:r>
      <w:r>
        <w:rPr>
          <w:rFonts w:ascii="Arial" w:hAnsi="Arial" w:eastAsia="Arial" w:cs="Arial"/>
          <w:b w:val="0"/>
          <w:i w:val="0"/>
          <w:smallCaps w:val="0"/>
          <w:strike w:val="0"/>
          <w:color w:val="000000"/>
          <w:sz w:val="24"/>
          <w:szCs w:val="24"/>
          <w:u w:val="none"/>
          <w:vertAlign w:val="baseline"/>
        </w:rPr>
        <w:tab/>
      </w:r>
      <w:r>
        <w:rPr>
          <w:rFonts w:ascii="Arial" w:hAnsi="Arial" w:eastAsia="Arial" w:cs="Arial"/>
          <w:b w:val="0"/>
          <w:i w:val="0"/>
          <w:smallCaps w:val="0"/>
          <w:strike w:val="0"/>
          <w:color w:val="000000"/>
          <w:sz w:val="24"/>
          <w:szCs w:val="24"/>
          <w:u w:val="none"/>
          <w:vertAlign w:val="baseline"/>
        </w:rPr>
        <w:fldChar w:fldCharType="end"/>
      </w:r>
    </w:p>
    <w:p>
      <w:pPr>
        <w:keepNext w:val="0"/>
        <w:keepLines w:val="0"/>
        <w:widowControl w:val="0"/>
        <w:tabs>
          <w:tab w:val="right" w:pos="9345"/>
        </w:tabs>
        <w:spacing w:before="120" w:after="120" w:line="360" w:lineRule="auto"/>
        <w:ind w:left="0" w:right="0" w:firstLine="0"/>
        <w:jc w:val="both"/>
      </w:pPr>
      <w:r>
        <w:fldChar w:fldCharType="begin"/>
      </w:r>
      <w:r>
        <w:instrText xml:space="preserve"> HYPERLINK \l "_1t3h5sf" \h </w:instrText>
      </w:r>
      <w:r>
        <w:fldChar w:fldCharType="separate"/>
      </w:r>
      <w:r>
        <w:rPr>
          <w:rFonts w:ascii="Arial" w:hAnsi="Arial" w:eastAsia="Arial" w:cs="Arial"/>
          <w:b/>
          <w:i w:val="0"/>
          <w:smallCaps w:val="0"/>
          <w:strike w:val="0"/>
          <w:color w:val="000000"/>
          <w:sz w:val="24"/>
          <w:szCs w:val="24"/>
          <w:u w:val="none"/>
          <w:vertAlign w:val="baseline"/>
        </w:rPr>
        <w:t>CAPÍTULO VII – DAS DISPOSIÇÕES GERAIS</w:t>
      </w:r>
      <w:r>
        <w:rPr>
          <w:rFonts w:ascii="Arial" w:hAnsi="Arial" w:eastAsia="Arial" w:cs="Arial"/>
          <w:b/>
          <w:i w:val="0"/>
          <w:smallCaps w:val="0"/>
          <w:strike w:val="0"/>
          <w:color w:val="000000"/>
          <w:sz w:val="24"/>
          <w:szCs w:val="24"/>
          <w:u w:val="none"/>
          <w:vertAlign w:val="baseline"/>
        </w:rPr>
        <w:fldChar w:fldCharType="end"/>
      </w:r>
      <w:r>
        <w:fldChar w:fldCharType="begin"/>
      </w:r>
      <w:r>
        <w:instrText xml:space="preserve"> HYPERLINK \l "_1t3h5sf" \h </w:instrText>
      </w:r>
      <w:r>
        <w:fldChar w:fldCharType="separate"/>
      </w:r>
      <w:r>
        <w:rPr>
          <w:rFonts w:ascii="Arial" w:hAnsi="Arial" w:eastAsia="Arial" w:cs="Arial"/>
          <w:b w:val="0"/>
          <w:i w:val="0"/>
          <w:smallCaps w:val="0"/>
          <w:strike w:val="0"/>
          <w:color w:val="000000"/>
          <w:sz w:val="24"/>
          <w:szCs w:val="24"/>
          <w:u w:val="none"/>
          <w:vertAlign w:val="baseline"/>
        </w:rPr>
        <w:tab/>
      </w:r>
      <w:r>
        <w:rPr>
          <w:rFonts w:ascii="Arial" w:hAnsi="Arial" w:eastAsia="Arial" w:cs="Arial"/>
          <w:b w:val="0"/>
          <w:i w:val="0"/>
          <w:smallCaps w:val="0"/>
          <w:strike w:val="0"/>
          <w:color w:val="000000"/>
          <w:sz w:val="24"/>
          <w:szCs w:val="24"/>
          <w:u w:val="none"/>
          <w:vertAlign w:val="baseline"/>
        </w:rPr>
        <w:fldChar w:fldCharType="end"/>
      </w:r>
    </w:p>
    <w:p>
      <w:pPr>
        <w:pStyle w:val="9"/>
        <w:tabs>
          <w:tab w:val="left" w:pos="1134"/>
        </w:tabs>
        <w:spacing w:before="120" w:after="120" w:line="360" w:lineRule="auto"/>
        <w:ind w:left="0" w:right="0" w:firstLine="1134"/>
        <w:jc w:val="both"/>
        <w:rPr>
          <w:rFonts w:ascii="Arial" w:hAnsi="Arial" w:eastAsia="Arial" w:cs="Arial"/>
          <w:b w:val="0"/>
          <w:color w:val="0000FF"/>
          <w:sz w:val="28"/>
          <w:szCs w:val="28"/>
        </w:rPr>
      </w:pPr>
    </w:p>
    <w:p>
      <w:pPr>
        <w:tabs>
          <w:tab w:val="left" w:pos="1134"/>
        </w:tabs>
        <w:spacing w:before="120" w:after="120" w:line="360" w:lineRule="auto"/>
        <w:ind w:left="0" w:right="0" w:firstLine="284"/>
        <w:jc w:val="both"/>
        <w:rPr>
          <w:rFonts w:ascii="Arial" w:hAnsi="Arial" w:eastAsia="Arial" w:cs="Arial"/>
          <w:b w:val="0"/>
          <w:color w:val="0000FF"/>
          <w:sz w:val="28"/>
          <w:szCs w:val="28"/>
        </w:rPr>
      </w:pPr>
    </w:p>
    <w:p>
      <w:pPr>
        <w:tabs>
          <w:tab w:val="left" w:pos="1134"/>
        </w:tabs>
        <w:spacing w:before="120" w:after="120" w:line="360" w:lineRule="auto"/>
        <w:ind w:left="0" w:right="0" w:firstLine="284"/>
        <w:jc w:val="both"/>
        <w:rPr>
          <w:rFonts w:ascii="Arial" w:hAnsi="Arial" w:eastAsia="Arial" w:cs="Arial"/>
          <w:b w:val="0"/>
          <w:color w:val="0000FF"/>
          <w:sz w:val="28"/>
          <w:szCs w:val="28"/>
        </w:rPr>
      </w:pPr>
    </w:p>
    <w:p>
      <w:pPr>
        <w:tabs>
          <w:tab w:val="left" w:pos="1134"/>
        </w:tabs>
        <w:spacing w:before="120" w:after="120" w:line="360" w:lineRule="auto"/>
        <w:ind w:left="0" w:right="0" w:firstLine="284"/>
        <w:jc w:val="both"/>
        <w:rPr>
          <w:rFonts w:ascii="Arial" w:hAnsi="Arial" w:eastAsia="Arial" w:cs="Arial"/>
          <w:b w:val="0"/>
          <w:color w:val="0000FF"/>
          <w:sz w:val="28"/>
          <w:szCs w:val="28"/>
        </w:rPr>
      </w:pPr>
    </w:p>
    <w:p>
      <w:pPr>
        <w:pStyle w:val="2"/>
        <w:keepNext w:val="0"/>
        <w:numPr>
          <w:ilvl w:val="0"/>
          <w:numId w:val="1"/>
        </w:numPr>
        <w:tabs>
          <w:tab w:val="left" w:pos="1134"/>
        </w:tabs>
        <w:spacing w:before="240" w:after="240" w:line="360" w:lineRule="auto"/>
        <w:ind w:left="432" w:right="0" w:hanging="432"/>
        <w:jc w:val="center"/>
        <w:rPr>
          <w:rFonts w:ascii="Arial" w:hAnsi="Arial" w:eastAsia="Arial" w:cs="Arial"/>
          <w:sz w:val="24"/>
          <w:szCs w:val="24"/>
        </w:rPr>
      </w:pPr>
      <w:r>
        <w:br w:type="page"/>
      </w:r>
    </w:p>
    <w:p>
      <w:pPr>
        <w:pStyle w:val="2"/>
        <w:keepNext w:val="0"/>
        <w:numPr>
          <w:ilvl w:val="0"/>
          <w:numId w:val="1"/>
        </w:numPr>
        <w:tabs>
          <w:tab w:val="left" w:pos="1134"/>
        </w:tabs>
        <w:spacing w:before="240" w:after="240" w:line="360" w:lineRule="auto"/>
        <w:ind w:left="432" w:right="0" w:hanging="432"/>
        <w:jc w:val="center"/>
        <w:rPr>
          <w:rFonts w:ascii="Arial" w:hAnsi="Arial" w:eastAsia="Arial" w:cs="Arial"/>
          <w:sz w:val="24"/>
          <w:szCs w:val="24"/>
        </w:rPr>
      </w:pPr>
      <w:r>
        <w:rPr>
          <w:sz w:val="24"/>
          <w:szCs w:val="24"/>
        </w:rPr>
        <w:t>CAPÍTULO I - DO OBJETO</w:t>
      </w:r>
    </w:p>
    <w:p>
      <w:pPr>
        <w:spacing w:before="240" w:after="240" w:line="360" w:lineRule="auto"/>
        <w:ind w:left="0" w:right="0" w:firstLine="0"/>
        <w:jc w:val="both"/>
      </w:pPr>
      <w:r>
        <w:rPr>
          <w:rFonts w:ascii="Arial" w:hAnsi="Arial" w:eastAsia="Arial" w:cs="Arial"/>
        </w:rPr>
        <w:t xml:space="preserve">Art. 1º. O presente Regimento Interno, devidamente aprovado em reunião do Conselho de Administração na data de </w:t>
      </w:r>
      <w:r>
        <w:rPr>
          <w:rFonts w:ascii="Arial" w:hAnsi="Arial" w:eastAsia="Arial" w:cs="Arial"/>
          <w:color w:val="FF0000"/>
        </w:rPr>
        <w:t>.../.../...,</w:t>
      </w:r>
      <w:r>
        <w:rPr>
          <w:rFonts w:ascii="Arial" w:hAnsi="Arial" w:eastAsia="Arial" w:cs="Arial"/>
        </w:rPr>
        <w:t xml:space="preserve"> disciplina o funcionamento do Comitê de Auditoria Estatutário (CAE), regido pela legislação aplicável, e pelo disposto no Estatuto Social da(o) empresa.</w:t>
      </w:r>
    </w:p>
    <w:p>
      <w:pPr>
        <w:spacing w:before="0" w:after="0" w:line="240" w:lineRule="auto"/>
        <w:ind w:left="0" w:right="0" w:firstLine="0"/>
        <w:jc w:val="both"/>
        <w:rPr>
          <w:rFonts w:ascii="Arial" w:hAnsi="Arial" w:eastAsia="Arial" w:cs="Arial"/>
          <w:sz w:val="12"/>
          <w:szCs w:val="12"/>
        </w:rPr>
      </w:pPr>
    </w:p>
    <w:p>
      <w:pPr>
        <w:pStyle w:val="2"/>
        <w:keepNext w:val="0"/>
        <w:numPr>
          <w:ilvl w:val="0"/>
          <w:numId w:val="1"/>
        </w:numPr>
        <w:tabs>
          <w:tab w:val="left" w:pos="1134"/>
        </w:tabs>
        <w:spacing w:before="240" w:after="240" w:line="360" w:lineRule="auto"/>
        <w:ind w:left="432" w:right="0" w:hanging="432"/>
        <w:jc w:val="center"/>
        <w:rPr>
          <w:rFonts w:ascii="Arial" w:hAnsi="Arial" w:eastAsia="Arial" w:cs="Arial"/>
          <w:sz w:val="24"/>
          <w:szCs w:val="24"/>
        </w:rPr>
      </w:pPr>
      <w:bookmarkStart w:id="0" w:name="_gjdgxs" w:colFirst="0" w:colLast="0"/>
      <w:bookmarkEnd w:id="0"/>
      <w:r>
        <w:rPr>
          <w:sz w:val="24"/>
          <w:szCs w:val="24"/>
        </w:rPr>
        <w:t>CAPÍTULO II - DO CONCEITO, FUNCIONAMENTO E COMPOSIÇÃO DO COMITÊ DE AUDITORIA ESTATUTÁRIO</w:t>
      </w:r>
    </w:p>
    <w:p>
      <w:pPr>
        <w:spacing w:before="183" w:after="183" w:line="360" w:lineRule="auto"/>
        <w:ind w:left="0" w:right="0" w:firstLine="0"/>
        <w:jc w:val="both"/>
      </w:pPr>
      <w:r>
        <w:rPr>
          <w:rFonts w:ascii="Arial" w:hAnsi="Arial" w:eastAsia="Arial" w:cs="Arial"/>
        </w:rPr>
        <w:t>Art. 2º. O CAE é um órgão auxiliar do Conselho de Administração ao qual se reporta diretamente</w:t>
      </w:r>
      <w:r>
        <w:rPr>
          <w:rFonts w:ascii="Arial" w:hAnsi="Arial" w:eastAsia="Arial" w:cs="Arial"/>
          <w:vertAlign w:val="superscript"/>
        </w:rPr>
        <w:footnoteReference w:id="0"/>
      </w:r>
      <w:r>
        <w:rPr>
          <w:rFonts w:ascii="Arial" w:hAnsi="Arial" w:eastAsia="Arial" w:cs="Arial"/>
        </w:rPr>
        <w:t>, nas suas funções de supervisão de auditoria interna e externa e de fiscalização, além do monitoramento das atividades da área de controles internos, das demonstrações financeiras e da avaliação do sistema de gerenciamento de riscos.</w:t>
      </w:r>
    </w:p>
    <w:p>
      <w:pPr>
        <w:spacing w:before="183" w:after="183" w:line="360" w:lineRule="auto"/>
        <w:ind w:left="0" w:right="0" w:firstLine="0"/>
        <w:jc w:val="both"/>
        <w:rPr>
          <w:rFonts w:ascii="Arial" w:hAnsi="Arial" w:eastAsia="Arial" w:cs="Arial"/>
        </w:rPr>
      </w:pPr>
      <w:r>
        <w:rPr>
          <w:rFonts w:ascii="Arial" w:hAnsi="Arial" w:eastAsia="Arial" w:cs="Arial"/>
        </w:rPr>
        <w:t>Art. 3º. O funcionamento do CAE será de forma permanente, possuindo autonomia operacional e dotação orçamentária anual, nos limites aprovados pelo Conselho de Administração, para conduzir ou determinar a realização de consultas, avaliações e investigações dentro do escopo de suas atividades, inclusive com a contratação e utilização de especialista externo.</w:t>
      </w:r>
    </w:p>
    <w:p>
      <w:pPr>
        <w:spacing w:before="183" w:after="183" w:line="360" w:lineRule="auto"/>
        <w:ind w:left="0" w:right="0" w:firstLine="0"/>
        <w:jc w:val="both"/>
        <w:rPr>
          <w:rFonts w:ascii="Arial" w:hAnsi="Arial" w:eastAsia="Arial" w:cs="Arial"/>
        </w:rPr>
      </w:pPr>
      <w:r>
        <w:rPr>
          <w:rFonts w:ascii="Arial" w:hAnsi="Arial" w:eastAsia="Arial" w:cs="Arial"/>
        </w:rPr>
        <w:t>Art. 4º. O CAE será composto por no mínimo 3 (três) e, no máximo 5 (cinco) membros efetivos, nos termos das normas aplicáveis.</w:t>
      </w:r>
    </w:p>
    <w:p>
      <w:pPr>
        <w:spacing w:before="183" w:after="183" w:line="360" w:lineRule="auto"/>
        <w:ind w:left="0" w:right="0" w:firstLine="0"/>
        <w:jc w:val="both"/>
        <w:rPr>
          <w:rFonts w:ascii="Arial" w:hAnsi="Arial" w:eastAsia="Arial" w:cs="Arial"/>
        </w:rPr>
      </w:pPr>
      <w:r>
        <w:rPr>
          <w:rFonts w:ascii="Arial" w:hAnsi="Arial" w:eastAsia="Arial" w:cs="Arial"/>
        </w:rPr>
        <w:t>§ 1º Os membros do CAE serão nomeados, empossados e destituídos pelo Conselho de Administração, na forma do Estatuto Social e demais dispositivos legais aplicáveis.</w:t>
      </w:r>
    </w:p>
    <w:p>
      <w:pPr>
        <w:keepNext w:val="0"/>
        <w:keepLines w:val="0"/>
        <w:widowControl w:val="0"/>
        <w:spacing w:before="183" w:after="183" w:line="360" w:lineRule="auto"/>
        <w:ind w:left="0" w:right="0" w:firstLine="0"/>
        <w:jc w:val="both"/>
        <w:rPr>
          <w:rFonts w:ascii="Arial" w:hAnsi="Arial" w:eastAsia="Arial" w:cs="Arial"/>
        </w:rPr>
      </w:pPr>
      <w:r>
        <w:rPr>
          <w:rFonts w:ascii="Arial" w:hAnsi="Arial" w:eastAsia="Arial" w:cs="Arial"/>
        </w:rPr>
        <w:t>§ 2º Caberá ao Conselho de Administração, em reunião, decidir e aprovar os pedidos de renúncia e vacância dos membros do CAE, bem como a escolha dos substitutos, observando que:</w:t>
      </w:r>
    </w:p>
    <w:p>
      <w:pPr>
        <w:keepNext w:val="0"/>
        <w:keepLines w:val="0"/>
        <w:widowControl w:val="0"/>
        <w:numPr>
          <w:ilvl w:val="0"/>
          <w:numId w:val="2"/>
        </w:numPr>
        <w:spacing w:before="183" w:after="0" w:afterAutospacing="0" w:line="360" w:lineRule="auto"/>
        <w:ind w:left="720" w:right="0" w:hanging="360"/>
        <w:jc w:val="both"/>
        <w:rPr>
          <w:rFonts w:ascii="Arial" w:hAnsi="Arial" w:eastAsia="Arial" w:cs="Arial"/>
          <w:u w:val="none"/>
        </w:rPr>
      </w:pPr>
      <w:r>
        <w:rPr>
          <w:rFonts w:ascii="Arial" w:hAnsi="Arial" w:eastAsia="Arial" w:cs="Arial"/>
        </w:rPr>
        <w:t>preferencialmente, a substituição de todos os membros não ocorra simultaneamente;</w:t>
      </w:r>
    </w:p>
    <w:p>
      <w:pPr>
        <w:keepNext w:val="0"/>
        <w:keepLines w:val="0"/>
        <w:widowControl w:val="0"/>
        <w:numPr>
          <w:ilvl w:val="0"/>
          <w:numId w:val="2"/>
        </w:numPr>
        <w:spacing w:before="0" w:beforeAutospacing="0" w:after="0" w:afterAutospacing="0" w:line="360" w:lineRule="auto"/>
        <w:ind w:left="720" w:right="0" w:hanging="360"/>
        <w:jc w:val="both"/>
        <w:rPr>
          <w:rFonts w:ascii="Arial" w:hAnsi="Arial" w:eastAsia="Arial" w:cs="Arial"/>
          <w:u w:val="none"/>
        </w:rPr>
      </w:pPr>
      <w:r>
        <w:rPr>
          <w:rFonts w:ascii="Arial" w:hAnsi="Arial" w:eastAsia="Arial" w:cs="Arial"/>
        </w:rPr>
        <w:t xml:space="preserve">caso qualquer membro do Comitê pretenda licenciar-se temporariamente do cargo, o Conselho de Administração nomeará um terceiro para substituí-lo durante o período da licença, devendo o membro licenciado, transcorrido o período de licença autorizado pelo Conselho de Administração, retornar ao cargo para cumprir o restante de seu mandato; </w:t>
      </w:r>
    </w:p>
    <w:p>
      <w:pPr>
        <w:keepNext w:val="0"/>
        <w:keepLines w:val="0"/>
        <w:widowControl w:val="0"/>
        <w:numPr>
          <w:ilvl w:val="0"/>
          <w:numId w:val="2"/>
        </w:numPr>
        <w:spacing w:before="0" w:beforeAutospacing="0" w:after="0" w:afterAutospacing="0" w:line="360" w:lineRule="auto"/>
        <w:ind w:left="720" w:right="0" w:hanging="360"/>
        <w:jc w:val="both"/>
        <w:rPr>
          <w:rFonts w:ascii="Arial" w:hAnsi="Arial" w:eastAsia="Arial" w:cs="Arial"/>
          <w:u w:val="none"/>
        </w:rPr>
      </w:pPr>
      <w:r>
        <w:rPr>
          <w:rFonts w:ascii="Arial" w:hAnsi="Arial" w:eastAsia="Arial" w:cs="Arial"/>
        </w:rPr>
        <w:t xml:space="preserve">o substituto do membro licenciado deverá atender a todos os requisitos exigidos pela legislação, pela regulamentação e por este Regimento com relação aos membros do Comitê; </w:t>
      </w:r>
    </w:p>
    <w:p>
      <w:pPr>
        <w:keepNext w:val="0"/>
        <w:keepLines w:val="0"/>
        <w:widowControl w:val="0"/>
        <w:numPr>
          <w:ilvl w:val="0"/>
          <w:numId w:val="2"/>
        </w:numPr>
        <w:spacing w:before="0" w:beforeAutospacing="0" w:after="0" w:afterAutospacing="0" w:line="360" w:lineRule="auto"/>
        <w:ind w:left="720" w:right="0" w:hanging="360"/>
        <w:jc w:val="both"/>
        <w:rPr>
          <w:rFonts w:ascii="Arial" w:hAnsi="Arial" w:eastAsia="Arial" w:cs="Arial"/>
          <w:u w:val="none"/>
        </w:rPr>
      </w:pPr>
      <w:r>
        <w:rPr>
          <w:rFonts w:ascii="Arial" w:hAnsi="Arial" w:eastAsia="Arial" w:cs="Arial"/>
        </w:rPr>
        <w:t>o período de duração da licença temporária a que se refere o inciso II não poderá ultrapassar o prazo remanescente do mandato do membro licenciado;</w:t>
      </w:r>
    </w:p>
    <w:p>
      <w:pPr>
        <w:keepNext w:val="0"/>
        <w:keepLines w:val="0"/>
        <w:widowControl w:val="0"/>
        <w:numPr>
          <w:ilvl w:val="0"/>
          <w:numId w:val="2"/>
        </w:numPr>
        <w:spacing w:before="0" w:beforeAutospacing="0" w:after="183" w:line="360" w:lineRule="auto"/>
        <w:ind w:left="720" w:right="0" w:hanging="360"/>
        <w:jc w:val="both"/>
        <w:rPr>
          <w:rFonts w:ascii="Arial" w:hAnsi="Arial" w:eastAsia="Arial" w:cs="Arial"/>
          <w:u w:val="none"/>
        </w:rPr>
      </w:pPr>
      <w:r>
        <w:rPr>
          <w:rFonts w:ascii="Arial" w:hAnsi="Arial" w:eastAsia="Arial" w:cs="Arial"/>
        </w:rPr>
        <w:t>o exercício do cargo de membro do Comitê pelo substituto do membro licenciado será computado para fins de cumprimento do prazo do mandato.</w:t>
      </w:r>
    </w:p>
    <w:p>
      <w:pPr>
        <w:keepNext w:val="0"/>
        <w:keepLines w:val="0"/>
        <w:widowControl w:val="0"/>
        <w:spacing w:before="183" w:after="183" w:line="360" w:lineRule="auto"/>
        <w:ind w:left="0" w:right="0" w:firstLine="0"/>
        <w:jc w:val="both"/>
        <w:rPr>
          <w:rFonts w:ascii="Arial" w:hAnsi="Arial" w:eastAsia="Arial" w:cs="Arial"/>
        </w:rPr>
      </w:pPr>
      <w:r>
        <w:rPr>
          <w:rFonts w:ascii="Arial" w:hAnsi="Arial" w:eastAsia="Arial" w:cs="Arial"/>
        </w:rPr>
        <w:t>§ 3º A posse dos membros do CAE se dará com a assinatura do termo de posse.</w:t>
      </w:r>
    </w:p>
    <w:p>
      <w:pPr>
        <w:keepNext w:val="0"/>
        <w:keepLines w:val="0"/>
        <w:widowControl w:val="0"/>
        <w:spacing w:before="183" w:after="183" w:line="360" w:lineRule="auto"/>
        <w:ind w:left="0" w:right="0" w:firstLine="0"/>
        <w:jc w:val="both"/>
        <w:rPr>
          <w:rFonts w:ascii="Arial" w:hAnsi="Arial" w:eastAsia="Arial" w:cs="Arial"/>
        </w:rPr>
      </w:pPr>
      <w:r>
        <w:rPr>
          <w:rFonts w:ascii="Arial" w:hAnsi="Arial" w:eastAsia="Arial" w:cs="Arial"/>
        </w:rPr>
        <w:t>§ 4º É indelegável a função do integrante do CAE, devendo ser exercida obedecendo aos deveres de lealdade e diligência, bem como evitando quaisquer situações de conflito que possam afetar os interesses da empresa e de seus acionistas.</w:t>
      </w:r>
    </w:p>
    <w:p>
      <w:pPr>
        <w:tabs>
          <w:tab w:val="left" w:pos="851"/>
          <w:tab w:val="left" w:pos="1134"/>
        </w:tabs>
        <w:spacing w:before="240" w:after="240" w:line="360" w:lineRule="auto"/>
        <w:ind w:left="0" w:right="0" w:firstLine="0"/>
        <w:jc w:val="both"/>
      </w:pPr>
      <w:r>
        <w:rPr>
          <w:rFonts w:ascii="Arial" w:hAnsi="Arial" w:eastAsia="Arial" w:cs="Arial"/>
        </w:rPr>
        <w:t xml:space="preserve">§ 5º O mandato dos membros do CAE será de xx anos, conforme estabelecido no Estatuto Social. </w:t>
      </w:r>
      <w:r>
        <w:rPr>
          <w:rFonts w:ascii="Arial" w:hAnsi="Arial" w:eastAsia="Arial" w:cs="Arial"/>
          <w:b/>
        </w:rPr>
        <w:t>(sugerimos que seja de um ano, renovável por igual período)</w:t>
      </w:r>
    </w:p>
    <w:p>
      <w:pPr>
        <w:spacing w:before="240" w:after="240" w:line="360" w:lineRule="auto"/>
        <w:ind w:left="0" w:right="0" w:firstLine="0"/>
        <w:jc w:val="both"/>
        <w:rPr>
          <w:rFonts w:ascii="Arial" w:hAnsi="Arial" w:eastAsia="Arial" w:cs="Arial"/>
        </w:rPr>
      </w:pPr>
      <w:r>
        <w:rPr>
          <w:rFonts w:ascii="Arial" w:hAnsi="Arial" w:eastAsia="Arial" w:cs="Arial"/>
        </w:rPr>
        <w:t>§ 6º Tendo exercido mandato no CAE por qualquer período, os membros dele desligados somente poderão integrá-lo novamente, após decorridos, no mínimo, 3 (três) anos do final do respectivo mandato.</w:t>
      </w:r>
    </w:p>
    <w:p>
      <w:pPr>
        <w:pStyle w:val="2"/>
        <w:keepNext w:val="0"/>
        <w:numPr>
          <w:ilvl w:val="0"/>
          <w:numId w:val="1"/>
        </w:numPr>
        <w:tabs>
          <w:tab w:val="left" w:pos="1134"/>
        </w:tabs>
        <w:spacing w:before="240" w:after="0" w:line="360" w:lineRule="auto"/>
        <w:ind w:left="432" w:right="0" w:hanging="432"/>
        <w:jc w:val="center"/>
        <w:rPr>
          <w:rFonts w:ascii="Arial" w:hAnsi="Arial" w:eastAsia="Arial" w:cs="Arial"/>
          <w:sz w:val="24"/>
          <w:szCs w:val="24"/>
        </w:rPr>
      </w:pPr>
    </w:p>
    <w:p>
      <w:pPr>
        <w:pStyle w:val="2"/>
        <w:numPr>
          <w:ilvl w:val="0"/>
          <w:numId w:val="1"/>
        </w:numPr>
        <w:tabs>
          <w:tab w:val="left" w:pos="1134"/>
        </w:tabs>
        <w:spacing w:before="0" w:after="240" w:line="360" w:lineRule="auto"/>
        <w:ind w:left="432" w:right="0" w:hanging="432"/>
        <w:jc w:val="center"/>
        <w:rPr>
          <w:rFonts w:ascii="Arial" w:hAnsi="Arial" w:eastAsia="Arial" w:cs="Arial"/>
          <w:sz w:val="24"/>
          <w:szCs w:val="24"/>
        </w:rPr>
      </w:pPr>
      <w:bookmarkStart w:id="1" w:name="_30j0zll" w:colFirst="0" w:colLast="0"/>
      <w:bookmarkEnd w:id="1"/>
      <w:r>
        <w:rPr>
          <w:sz w:val="24"/>
          <w:szCs w:val="24"/>
        </w:rPr>
        <w:t>CAPÍTULO III - DOS REQUISITOS E IMPEDIMENTOS PARA EXERCÍCIO DA FUNÇÃO DE MEMBRO DO COMITÊ DE AUDITORIA ESTATUTÁRIO</w:t>
      </w:r>
    </w:p>
    <w:p>
      <w:pPr>
        <w:spacing w:before="240" w:after="240" w:line="360" w:lineRule="auto"/>
        <w:ind w:left="0" w:right="0" w:firstLine="0"/>
        <w:jc w:val="both"/>
      </w:pPr>
      <w:r>
        <w:rPr>
          <w:rFonts w:ascii="Arial" w:hAnsi="Arial" w:eastAsia="Arial" w:cs="Arial"/>
        </w:rPr>
        <w:t>Art. 5º. Os membros do CAE devem possuir, no mínimo graduação, e comprovados conhecimentos nas áreas de contabilidade, auditoria, experiências em assuntos de natureza financeira, controle interno, elaboração e análise das demonstrações financeiras, devendo, pelo menos, 1 (um) de seus membros possuir reconhecida experiência em assuntos de contabilidade societária.</w:t>
      </w:r>
    </w:p>
    <w:p>
      <w:pPr>
        <w:spacing w:before="240" w:after="240" w:line="360" w:lineRule="auto"/>
        <w:ind w:left="0" w:right="0" w:firstLine="0"/>
        <w:jc w:val="both"/>
      </w:pPr>
      <w:r>
        <w:rPr>
          <w:rFonts w:ascii="Arial" w:hAnsi="Arial" w:eastAsia="Arial" w:cs="Arial"/>
        </w:rPr>
        <w:t>Art. 6º. Constituem impedimentos para exercício das funções de membro do CAE</w:t>
      </w:r>
      <w:r>
        <w:rPr>
          <w:rFonts w:ascii="Arial" w:hAnsi="Arial" w:eastAsia="Arial" w:cs="Arial"/>
          <w:color w:val="FF0000"/>
        </w:rPr>
        <w:t xml:space="preserve">, </w:t>
      </w:r>
      <w:r>
        <w:rPr>
          <w:rFonts w:ascii="Arial" w:hAnsi="Arial" w:eastAsia="Arial" w:cs="Arial"/>
        </w:rPr>
        <w:t>além daqueles previstos no Estatuto Social:</w:t>
      </w:r>
    </w:p>
    <w:p>
      <w:pPr>
        <w:spacing w:before="126" w:after="126" w:line="240" w:lineRule="auto"/>
        <w:ind w:left="0" w:right="0" w:firstLine="0"/>
        <w:jc w:val="both"/>
        <w:rPr>
          <w:rFonts w:ascii="Arial" w:hAnsi="Arial" w:eastAsia="Arial" w:cs="Arial"/>
        </w:rPr>
      </w:pPr>
      <w:r>
        <w:rPr>
          <w:rFonts w:ascii="Arial" w:hAnsi="Arial" w:eastAsia="Arial" w:cs="Arial"/>
        </w:rPr>
        <w:t>I - ser ou ter sido nos últimos 12 (doze) meses anteriores à nomeação:</w:t>
      </w:r>
    </w:p>
    <w:p>
      <w:pPr>
        <w:spacing w:before="126" w:after="126" w:line="240" w:lineRule="auto"/>
        <w:ind w:left="0" w:right="0" w:firstLine="0"/>
        <w:jc w:val="both"/>
        <w:rPr>
          <w:rFonts w:ascii="Arial" w:hAnsi="Arial" w:eastAsia="Arial" w:cs="Arial"/>
          <w:sz w:val="12"/>
          <w:szCs w:val="12"/>
        </w:rPr>
      </w:pPr>
    </w:p>
    <w:p>
      <w:pPr>
        <w:numPr>
          <w:ilvl w:val="0"/>
          <w:numId w:val="3"/>
        </w:numPr>
        <w:spacing w:before="126" w:after="126" w:line="360" w:lineRule="auto"/>
        <w:ind w:left="1134" w:right="0" w:firstLine="0"/>
        <w:jc w:val="both"/>
        <w:rPr>
          <w:rFonts w:ascii="Arial" w:hAnsi="Arial" w:eastAsia="Arial" w:cs="Arial"/>
        </w:rPr>
      </w:pPr>
      <w:r>
        <w:rPr>
          <w:rFonts w:ascii="Arial" w:hAnsi="Arial" w:eastAsia="Arial" w:cs="Arial"/>
        </w:rPr>
        <w:t>membro da Diretoria;</w:t>
      </w:r>
    </w:p>
    <w:p>
      <w:pPr>
        <w:numPr>
          <w:ilvl w:val="0"/>
          <w:numId w:val="3"/>
        </w:numPr>
        <w:spacing w:before="126" w:after="126" w:line="360" w:lineRule="auto"/>
        <w:ind w:left="1134" w:right="0" w:firstLine="0"/>
        <w:jc w:val="both"/>
        <w:rPr>
          <w:rFonts w:ascii="Arial" w:hAnsi="Arial" w:eastAsia="Arial" w:cs="Arial"/>
        </w:rPr>
      </w:pPr>
      <w:r>
        <w:rPr>
          <w:rFonts w:ascii="Arial" w:hAnsi="Arial" w:eastAsia="Arial" w:cs="Arial"/>
        </w:rPr>
        <w:t>empregado efetivo;</w:t>
      </w:r>
    </w:p>
    <w:p>
      <w:pPr>
        <w:numPr>
          <w:ilvl w:val="0"/>
          <w:numId w:val="3"/>
        </w:numPr>
        <w:spacing w:before="126" w:after="126" w:line="360" w:lineRule="auto"/>
        <w:ind w:left="1134" w:right="0" w:firstLine="0"/>
        <w:jc w:val="both"/>
        <w:rPr>
          <w:rFonts w:ascii="Arial" w:hAnsi="Arial" w:eastAsia="Arial" w:cs="Arial"/>
        </w:rPr>
      </w:pPr>
      <w:r>
        <w:rPr>
          <w:rFonts w:ascii="Arial" w:hAnsi="Arial" w:eastAsia="Arial" w:cs="Arial"/>
        </w:rPr>
        <w:t>responsável técnico, diretor, gerente, supervisor ou qualquer outro integrante, com função de gerência de equipe envolvida nos trabalhos de auditoria; e</w:t>
      </w:r>
    </w:p>
    <w:p>
      <w:pPr>
        <w:numPr>
          <w:ilvl w:val="0"/>
          <w:numId w:val="3"/>
        </w:numPr>
        <w:spacing w:before="240" w:after="240" w:line="360" w:lineRule="auto"/>
        <w:ind w:left="1134" w:right="0" w:firstLine="0"/>
        <w:jc w:val="both"/>
        <w:rPr>
          <w:rFonts w:ascii="Arial" w:hAnsi="Arial" w:eastAsia="Arial" w:cs="Arial"/>
        </w:rPr>
      </w:pPr>
      <w:r>
        <w:rPr>
          <w:rFonts w:ascii="Arial" w:hAnsi="Arial" w:eastAsia="Arial" w:cs="Arial"/>
        </w:rPr>
        <w:t xml:space="preserve">membro do Conselho Fiscal. </w:t>
      </w:r>
    </w:p>
    <w:p>
      <w:pPr>
        <w:spacing w:before="183" w:after="183" w:line="360" w:lineRule="auto"/>
        <w:ind w:left="0" w:right="0" w:firstLine="0"/>
        <w:jc w:val="both"/>
        <w:rPr>
          <w:rFonts w:ascii="Arial" w:hAnsi="Arial" w:eastAsia="Arial" w:cs="Arial"/>
        </w:rPr>
      </w:pPr>
      <w:r>
        <w:rPr>
          <w:rFonts w:ascii="Arial" w:hAnsi="Arial" w:eastAsia="Arial" w:cs="Arial"/>
        </w:rPr>
        <w:t xml:space="preserve">II - ser cônjuge ou parente consanguíneo ou afim, até o segundo grau ou por adoção, das pessoas referidas no inciso I; </w:t>
      </w:r>
    </w:p>
    <w:p>
      <w:pPr>
        <w:spacing w:before="183" w:after="183" w:line="360" w:lineRule="auto"/>
        <w:ind w:left="0" w:right="0" w:firstLine="0"/>
        <w:jc w:val="both"/>
        <w:rPr>
          <w:rFonts w:ascii="Arial" w:hAnsi="Arial" w:eastAsia="Arial" w:cs="Arial"/>
        </w:rPr>
      </w:pPr>
      <w:r>
        <w:rPr>
          <w:rFonts w:ascii="Arial" w:hAnsi="Arial" w:eastAsia="Arial" w:cs="Arial"/>
        </w:rPr>
        <w:t>III - receber qualquer outro tipo de remuneração da empresa pública ou sociedade de economia mista ou de sua controladora, controlada, coligada ou sociedade em controle comum, direta ou indireta, que não seja aquela relativa à função de integrante do CAE;</w:t>
      </w:r>
    </w:p>
    <w:p>
      <w:pPr>
        <w:spacing w:before="183" w:after="183" w:line="360" w:lineRule="auto"/>
        <w:ind w:left="0" w:right="0" w:firstLine="0"/>
        <w:jc w:val="both"/>
        <w:rPr>
          <w:rFonts w:ascii="Arial" w:hAnsi="Arial" w:eastAsia="Arial" w:cs="Arial"/>
        </w:rPr>
      </w:pPr>
      <w:r>
        <w:rPr>
          <w:rFonts w:ascii="Arial" w:hAnsi="Arial" w:eastAsia="Arial" w:cs="Arial"/>
        </w:rPr>
        <w:t>IV - ser ou ter sido ocupante de cargo público efetivo, ainda que licenciado, ou de cargo em comissão da pessoa jurídica de direito público que exerça o controle acionário da empresa pública ou sociedade de economia mista, nos últimos 12 (doze) meses anteriores à nomeação para o CAE.</w:t>
      </w:r>
    </w:p>
    <w:p>
      <w:pPr>
        <w:spacing w:before="240" w:after="240" w:line="360" w:lineRule="auto"/>
        <w:ind w:left="0" w:right="0" w:firstLine="0"/>
        <w:jc w:val="both"/>
        <w:rPr>
          <w:rFonts w:ascii="Arial" w:hAnsi="Arial" w:eastAsia="Arial" w:cs="Arial"/>
        </w:rPr>
      </w:pPr>
      <w:r>
        <w:rPr>
          <w:rFonts w:ascii="Arial" w:hAnsi="Arial" w:eastAsia="Arial" w:cs="Arial"/>
        </w:rPr>
        <w:t>Parágrafo único. O atendimento às previsões deste artigo deve ser comprovado por meio de documentação mantida na sede da empresa estatal pelo prazo mínimo de 5 (cinco) anos, contado a partir do último dia de mandato do membro do CAE.</w:t>
      </w:r>
    </w:p>
    <w:p>
      <w:pPr>
        <w:spacing w:before="240" w:after="240" w:line="360" w:lineRule="auto"/>
        <w:ind w:left="0" w:right="0" w:firstLine="0"/>
        <w:jc w:val="both"/>
        <w:rPr>
          <w:rFonts w:ascii="Arial" w:hAnsi="Arial" w:eastAsia="Arial" w:cs="Arial"/>
        </w:rPr>
      </w:pPr>
      <w:r>
        <w:rPr>
          <w:rFonts w:ascii="Arial" w:hAnsi="Arial" w:eastAsia="Arial" w:cs="Arial"/>
        </w:rPr>
        <w:t>Art. 7º. São atribuições do CAE, além de outras previstas no Estatuto Social ou na legislação aplicável:</w:t>
      </w:r>
    </w:p>
    <w:p>
      <w:pPr>
        <w:numPr>
          <w:ilvl w:val="0"/>
          <w:numId w:val="4"/>
        </w:numPr>
        <w:spacing w:before="240" w:after="240" w:line="360" w:lineRule="auto"/>
        <w:ind w:left="0" w:right="0" w:firstLine="0"/>
        <w:jc w:val="both"/>
        <w:rPr>
          <w:rFonts w:ascii="Arial" w:hAnsi="Arial" w:eastAsia="Arial" w:cs="Arial"/>
        </w:rPr>
      </w:pPr>
      <w:r>
        <w:rPr>
          <w:rFonts w:ascii="Arial" w:hAnsi="Arial" w:eastAsia="Arial" w:cs="Arial"/>
        </w:rPr>
        <w:t>elaborar o regimento interno disciplinador das regras operacionais para o seu funcionamento, submetendo-o, bem como as respectivas alterações, à aprovação do Conselho de Administração;</w:t>
      </w:r>
    </w:p>
    <w:p>
      <w:pPr>
        <w:numPr>
          <w:ilvl w:val="0"/>
          <w:numId w:val="4"/>
        </w:numPr>
        <w:spacing w:before="240" w:after="240" w:line="360" w:lineRule="auto"/>
        <w:ind w:left="0" w:right="0" w:firstLine="0"/>
        <w:jc w:val="both"/>
        <w:rPr>
          <w:rFonts w:ascii="Arial" w:hAnsi="Arial" w:eastAsia="Arial" w:cs="Arial"/>
          <w:color w:val="000000"/>
        </w:rPr>
      </w:pPr>
      <w:r>
        <w:rPr>
          <w:rFonts w:ascii="Arial" w:hAnsi="Arial" w:eastAsia="Arial" w:cs="Arial"/>
          <w:color w:val="000000"/>
        </w:rPr>
        <w:t>opinar sobre a contratação e destituição de auditor independente;</w:t>
      </w:r>
    </w:p>
    <w:p>
      <w:pPr>
        <w:numPr>
          <w:ilvl w:val="0"/>
          <w:numId w:val="4"/>
        </w:numPr>
        <w:spacing w:before="240" w:after="240" w:line="360" w:lineRule="auto"/>
        <w:ind w:left="0" w:right="0" w:firstLine="0"/>
        <w:jc w:val="both"/>
      </w:pPr>
      <w:r>
        <w:rPr>
          <w:rFonts w:ascii="Arial" w:hAnsi="Arial" w:eastAsia="Arial" w:cs="Arial"/>
          <w:color w:val="000000"/>
        </w:rPr>
        <w:t xml:space="preserve">supervisionar as atividades dos auditores independentes, avaliando sua independência, a qualidade dos serviços prestados e a adequação de tais serviços às necessidades da </w:t>
      </w:r>
      <w:r>
        <w:rPr>
          <w:rFonts w:ascii="Arial" w:hAnsi="Arial" w:eastAsia="Arial" w:cs="Arial"/>
        </w:rPr>
        <w:t>empresa</w:t>
      </w:r>
      <w:r>
        <w:rPr>
          <w:rFonts w:ascii="Arial" w:hAnsi="Arial" w:eastAsia="Arial" w:cs="Arial"/>
          <w:color w:val="000000"/>
        </w:rPr>
        <w:t>;</w:t>
      </w:r>
    </w:p>
    <w:p>
      <w:pPr>
        <w:numPr>
          <w:ilvl w:val="0"/>
          <w:numId w:val="4"/>
        </w:numPr>
        <w:spacing w:before="240" w:after="240" w:line="360" w:lineRule="auto"/>
        <w:ind w:left="0" w:right="0" w:firstLine="0"/>
        <w:jc w:val="both"/>
      </w:pPr>
      <w:r>
        <w:rPr>
          <w:rFonts w:ascii="Arial" w:hAnsi="Arial" w:eastAsia="Arial" w:cs="Arial"/>
          <w:color w:val="000000"/>
        </w:rPr>
        <w:t xml:space="preserve">supervisionar as atividades desenvolvidas nas áreas de controle interno, de auditoria interna e de elaboração das demonstrações financeiras da </w:t>
      </w:r>
      <w:r>
        <w:rPr>
          <w:rFonts w:ascii="Arial" w:hAnsi="Arial" w:eastAsia="Arial" w:cs="Arial"/>
        </w:rPr>
        <w:t>empresa</w:t>
      </w:r>
      <w:r>
        <w:rPr>
          <w:rFonts w:ascii="Arial" w:hAnsi="Arial" w:eastAsia="Arial" w:cs="Arial"/>
          <w:color w:val="000000"/>
        </w:rPr>
        <w:t>;</w:t>
      </w:r>
    </w:p>
    <w:p>
      <w:pPr>
        <w:numPr>
          <w:ilvl w:val="0"/>
          <w:numId w:val="4"/>
        </w:numPr>
        <w:spacing w:before="240" w:after="240" w:line="360" w:lineRule="auto"/>
        <w:ind w:left="0" w:right="0" w:firstLine="0"/>
        <w:jc w:val="both"/>
      </w:pPr>
      <w:r>
        <w:rPr>
          <w:rFonts w:ascii="Arial" w:hAnsi="Arial" w:eastAsia="Arial" w:cs="Arial"/>
          <w:color w:val="000000"/>
        </w:rPr>
        <w:t xml:space="preserve">monitorar a qualidade e a integridade dos mecanismos de controle interno, das demonstrações financeiras e das informações e medições divulgadas pela </w:t>
      </w:r>
      <w:r>
        <w:rPr>
          <w:rFonts w:ascii="Arial" w:hAnsi="Arial" w:eastAsia="Arial" w:cs="Arial"/>
        </w:rPr>
        <w:t>empresa</w:t>
      </w:r>
      <w:r>
        <w:rPr>
          <w:rFonts w:ascii="Arial" w:hAnsi="Arial" w:eastAsia="Arial" w:cs="Arial"/>
          <w:color w:val="000000"/>
        </w:rPr>
        <w:t>;</w:t>
      </w:r>
    </w:p>
    <w:p>
      <w:pPr>
        <w:numPr>
          <w:ilvl w:val="0"/>
          <w:numId w:val="4"/>
        </w:numPr>
        <w:spacing w:before="183" w:after="183" w:line="360" w:lineRule="auto"/>
        <w:ind w:left="0" w:right="0" w:firstLine="0"/>
        <w:jc w:val="both"/>
      </w:pPr>
      <w:r>
        <w:rPr>
          <w:rFonts w:ascii="Arial" w:hAnsi="Arial" w:eastAsia="Arial" w:cs="Arial"/>
          <w:color w:val="000000"/>
        </w:rPr>
        <w:t xml:space="preserve">avaliar e monitorar exposições de risco da </w:t>
      </w:r>
      <w:r>
        <w:rPr>
          <w:rFonts w:ascii="Arial" w:hAnsi="Arial" w:eastAsia="Arial" w:cs="Arial"/>
        </w:rPr>
        <w:t>empresa</w:t>
      </w:r>
      <w:r>
        <w:rPr>
          <w:rFonts w:ascii="Arial" w:hAnsi="Arial" w:eastAsia="Arial" w:cs="Arial"/>
          <w:color w:val="000000"/>
        </w:rPr>
        <w:t>, podendo requerer, entre outras, informações detalhadas sobre políticas e procedimentos referentes a:</w:t>
      </w:r>
    </w:p>
    <w:p>
      <w:pPr>
        <w:keepNext w:val="0"/>
        <w:keepLines w:val="0"/>
        <w:widowControl w:val="0"/>
        <w:spacing w:before="183" w:after="183" w:line="360" w:lineRule="auto"/>
        <w:ind w:left="1134"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a) remuneração da administração;</w:t>
      </w:r>
    </w:p>
    <w:p>
      <w:pPr>
        <w:keepNext w:val="0"/>
        <w:keepLines w:val="0"/>
        <w:widowControl w:val="0"/>
        <w:spacing w:before="183" w:after="183" w:line="360" w:lineRule="auto"/>
        <w:ind w:left="1134"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b) utilização de ativos da empresa; e</w:t>
      </w:r>
    </w:p>
    <w:p>
      <w:pPr>
        <w:keepNext w:val="0"/>
        <w:keepLines w:val="0"/>
        <w:widowControl w:val="0"/>
        <w:spacing w:before="240" w:after="240" w:line="360" w:lineRule="auto"/>
        <w:ind w:left="1134"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c) gastos incorridos em nome da empresa.</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VII. avaliar e monitorar, em conjunto com a administração e a área de auditoria interna, a adequação das transações com partes relacionadas;</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VIII. elaborar relatório bimestral e anual com informações sobre as atividades, os resultados, as conclusões e as recomendações do CAE, registrando, se houver, as divergências significativas entre administração, auditoria independente e CAE em relação às demonstrações financeiras;</w:t>
      </w:r>
    </w:p>
    <w:p>
      <w:pPr>
        <w:keepNext w:val="0"/>
        <w:keepLines w:val="0"/>
        <w:widowControl w:val="0"/>
        <w:spacing w:before="240" w:after="240" w:line="360" w:lineRule="auto"/>
        <w:ind w:left="0" w:right="0" w:firstLine="0"/>
        <w:jc w:val="both"/>
      </w:pPr>
      <w:r>
        <w:rPr>
          <w:rFonts w:ascii="Arial" w:hAnsi="Arial" w:eastAsia="Arial" w:cs="Arial"/>
          <w:b w:val="0"/>
          <w:i w:val="0"/>
          <w:smallCaps w:val="0"/>
          <w:strike w:val="0"/>
          <w:color w:val="000000"/>
          <w:sz w:val="24"/>
          <w:szCs w:val="24"/>
          <w:u w:val="none"/>
          <w:vertAlign w:val="baseline"/>
        </w:rPr>
        <w:t>IX. avaliar a razoabilidade dos parâmetros em que se fundamentam os cálculos atuariais, bem como o resultado atuarial dos planos de benefícios mantidos pelo fundo de pensão, quando a empresa pública ou a sociedade de economia mista for patrocinadora de entidade fechada de previdência complementar;</w:t>
      </w:r>
    </w:p>
    <w:p>
      <w:pPr>
        <w:keepNext w:val="0"/>
        <w:keepLines w:val="0"/>
        <w:widowControl w:val="0"/>
        <w:tabs>
          <w:tab w:val="left" w:pos="0"/>
        </w:tabs>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X</w:t>
      </w:r>
      <w:r>
        <w:rPr>
          <w:rFonts w:ascii="Arial" w:hAnsi="Arial" w:eastAsia="Arial" w:cs="Arial"/>
        </w:rPr>
        <w:t>.</w:t>
      </w:r>
      <w:r>
        <w:rPr>
          <w:rFonts w:ascii="Arial" w:hAnsi="Arial" w:eastAsia="Arial" w:cs="Arial"/>
          <w:b w:val="0"/>
          <w:i w:val="0"/>
          <w:smallCaps w:val="0"/>
          <w:strike w:val="0"/>
          <w:color w:val="000000"/>
          <w:sz w:val="24"/>
          <w:szCs w:val="24"/>
          <w:u w:val="none"/>
          <w:vertAlign w:val="baseline"/>
        </w:rPr>
        <w:t xml:space="preserve"> requerer a contratação de empresas ou profissionais especializados para aconselhar e assistir nos temas em que a Auditoria Interna não possa ou tenha algum impedimento para tratar.</w:t>
      </w:r>
    </w:p>
    <w:p>
      <w:pPr>
        <w:keepNext w:val="0"/>
        <w:keepLines w:val="0"/>
        <w:widowControl w:val="0"/>
        <w:spacing w:before="240" w:after="240" w:line="360" w:lineRule="auto"/>
        <w:ind w:left="0" w:right="0" w:firstLine="0"/>
        <w:jc w:val="both"/>
      </w:pPr>
      <w:r>
        <w:rPr>
          <w:rFonts w:ascii="Arial" w:hAnsi="Arial" w:eastAsia="Arial" w:cs="Arial"/>
          <w:b w:val="0"/>
          <w:i w:val="0"/>
          <w:smallCaps w:val="0"/>
          <w:strike w:val="0"/>
          <w:color w:val="000000"/>
          <w:sz w:val="24"/>
          <w:szCs w:val="24"/>
          <w:u w:val="none"/>
          <w:vertAlign w:val="baseline"/>
        </w:rPr>
        <w:t xml:space="preserve">Art. 8º. O CAE receberá denúncias, inclusive sigilosas, internas e externas à </w:t>
      </w:r>
      <w:r>
        <w:rPr>
          <w:rFonts w:ascii="Arial" w:hAnsi="Arial" w:eastAsia="Arial" w:cs="Arial"/>
          <w:b/>
          <w:i w:val="0"/>
          <w:smallCaps w:val="0"/>
          <w:strike w:val="0"/>
          <w:sz w:val="24"/>
          <w:szCs w:val="24"/>
          <w:u w:val="none"/>
          <w:vertAlign w:val="baseline"/>
        </w:rPr>
        <w:t>empresa pública/ sociedade de economia mista,</w:t>
      </w:r>
      <w:r>
        <w:rPr>
          <w:rFonts w:ascii="Arial" w:hAnsi="Arial" w:eastAsia="Arial" w:cs="Arial"/>
          <w:b w:val="0"/>
          <w:i w:val="0"/>
          <w:smallCaps w:val="0"/>
          <w:strike w:val="0"/>
          <w:color w:val="FF0000"/>
          <w:sz w:val="24"/>
          <w:szCs w:val="24"/>
          <w:u w:val="none"/>
          <w:vertAlign w:val="baseline"/>
        </w:rPr>
        <w:t xml:space="preserve"> </w:t>
      </w:r>
      <w:r>
        <w:rPr>
          <w:rFonts w:ascii="Arial" w:hAnsi="Arial" w:eastAsia="Arial" w:cs="Arial"/>
          <w:b w:val="0"/>
          <w:i w:val="0"/>
          <w:smallCaps w:val="0"/>
          <w:strike w:val="0"/>
          <w:color w:val="000000"/>
          <w:sz w:val="24"/>
          <w:szCs w:val="24"/>
          <w:u w:val="none"/>
          <w:vertAlign w:val="baseline"/>
        </w:rPr>
        <w:t>em matérias relacionadas ao escopo de suas atividades.</w:t>
      </w:r>
    </w:p>
    <w:p>
      <w:pPr>
        <w:keepNext w:val="0"/>
        <w:keepLines w:val="0"/>
        <w:widowControl w:val="0"/>
        <w:spacing w:before="240" w:after="240" w:line="360" w:lineRule="auto"/>
        <w:ind w:left="0" w:right="0" w:firstLine="0"/>
        <w:jc w:val="both"/>
      </w:pPr>
      <w:r>
        <w:rPr>
          <w:rFonts w:ascii="Arial" w:hAnsi="Arial" w:eastAsia="Arial" w:cs="Arial"/>
          <w:b w:val="0"/>
          <w:i w:val="0"/>
          <w:smallCaps w:val="0"/>
          <w:strike w:val="0"/>
          <w:color w:val="000000"/>
          <w:sz w:val="24"/>
          <w:szCs w:val="24"/>
          <w:u w:val="none"/>
          <w:vertAlign w:val="baseline"/>
        </w:rPr>
        <w:t xml:space="preserve">§ 1º As denúncias poderão ser encaminhadas por correio eletrônico para o endereço </w:t>
      </w:r>
      <w:r>
        <w:rPr>
          <w:rFonts w:ascii="Arial" w:hAnsi="Arial" w:eastAsia="Arial" w:cs="Arial"/>
          <w:b/>
          <w:i w:val="0"/>
          <w:smallCaps w:val="0"/>
          <w:strike w:val="0"/>
          <w:sz w:val="24"/>
          <w:szCs w:val="24"/>
          <w:u w:val="none"/>
          <w:vertAlign w:val="baseline"/>
        </w:rPr>
        <w:t>comitedeauditoria@xxx.com.br</w:t>
      </w:r>
      <w:r>
        <w:rPr>
          <w:rFonts w:ascii="Arial" w:hAnsi="Arial" w:eastAsia="Arial" w:cs="Arial"/>
          <w:b w:val="0"/>
          <w:i w:val="0"/>
          <w:smallCaps w:val="0"/>
          <w:strike w:val="0"/>
          <w:color w:val="000000"/>
          <w:sz w:val="24"/>
          <w:szCs w:val="24"/>
          <w:u w:val="none"/>
          <w:vertAlign w:val="baseline"/>
        </w:rPr>
        <w:t xml:space="preserve">, endereço este a ser divulgado no site da (o) </w:t>
      </w:r>
      <w:r>
        <w:rPr>
          <w:rFonts w:ascii="Arial" w:hAnsi="Arial" w:eastAsia="Arial" w:cs="Arial"/>
          <w:b w:val="0"/>
          <w:i w:val="0"/>
          <w:smallCaps w:val="0"/>
          <w:strike w:val="0"/>
          <w:sz w:val="24"/>
          <w:szCs w:val="24"/>
          <w:u w:val="none"/>
          <w:vertAlign w:val="baseline"/>
        </w:rPr>
        <w:t>(</w:t>
      </w:r>
      <w:r>
        <w:rPr>
          <w:rFonts w:ascii="Arial" w:hAnsi="Arial" w:eastAsia="Arial" w:cs="Arial"/>
          <w:b/>
          <w:i w:val="0"/>
          <w:smallCaps w:val="0"/>
          <w:strike w:val="0"/>
          <w:sz w:val="24"/>
          <w:szCs w:val="24"/>
          <w:u w:val="none"/>
          <w:vertAlign w:val="baseline"/>
        </w:rPr>
        <w:t>NOME DA EMPRESA</w:t>
      </w:r>
      <w:r>
        <w:rPr>
          <w:rFonts w:ascii="Arial" w:hAnsi="Arial" w:eastAsia="Arial" w:cs="Arial"/>
          <w:b w:val="0"/>
          <w:i w:val="0"/>
          <w:smallCaps w:val="0"/>
          <w:strike w:val="0"/>
          <w:sz w:val="24"/>
          <w:szCs w:val="24"/>
          <w:u w:val="none"/>
          <w:vertAlign w:val="baseline"/>
        </w:rPr>
        <w:t>)</w:t>
      </w:r>
      <w:r>
        <w:rPr>
          <w:rFonts w:ascii="Arial" w:hAnsi="Arial" w:eastAsia="Arial" w:cs="Arial"/>
          <w:b w:val="0"/>
          <w:i w:val="0"/>
          <w:smallCaps w:val="0"/>
          <w:strike w:val="0"/>
          <w:color w:val="000000"/>
          <w:sz w:val="24"/>
          <w:szCs w:val="24"/>
          <w:u w:val="none"/>
          <w:vertAlign w:val="baseline"/>
        </w:rPr>
        <w:t>, em local de fácil visualização.</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 2º O CAE garantirá, se solicitado, o sigilo do denunciante. </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3º Caberá ao CAE determinar as medidas cabíveis e necessárias para a apuração dos fatos e informações objeto da denúncia.</w:t>
      </w:r>
    </w:p>
    <w:p>
      <w:pPr>
        <w:pStyle w:val="2"/>
        <w:keepNext w:val="0"/>
        <w:numPr>
          <w:ilvl w:val="0"/>
          <w:numId w:val="1"/>
        </w:numPr>
        <w:tabs>
          <w:tab w:val="left" w:pos="1134"/>
        </w:tabs>
        <w:spacing w:before="240" w:after="0" w:line="360" w:lineRule="auto"/>
        <w:ind w:left="432" w:right="0" w:hanging="432"/>
        <w:jc w:val="center"/>
        <w:rPr>
          <w:rFonts w:ascii="Arial" w:hAnsi="Arial" w:eastAsia="Arial" w:cs="Arial"/>
          <w:sz w:val="24"/>
          <w:szCs w:val="24"/>
        </w:rPr>
      </w:pPr>
    </w:p>
    <w:p>
      <w:pPr>
        <w:pStyle w:val="2"/>
        <w:numPr>
          <w:ilvl w:val="0"/>
          <w:numId w:val="1"/>
        </w:numPr>
        <w:tabs>
          <w:tab w:val="left" w:pos="1134"/>
        </w:tabs>
        <w:spacing w:before="0" w:after="240" w:line="360" w:lineRule="auto"/>
        <w:ind w:left="432" w:right="0" w:hanging="432"/>
        <w:jc w:val="center"/>
        <w:rPr>
          <w:rFonts w:ascii="Arial" w:hAnsi="Arial" w:eastAsia="Arial" w:cs="Arial"/>
          <w:sz w:val="24"/>
          <w:szCs w:val="24"/>
        </w:rPr>
      </w:pPr>
      <w:bookmarkStart w:id="2" w:name="_1fob9te" w:colFirst="0" w:colLast="0"/>
      <w:bookmarkEnd w:id="2"/>
      <w:r>
        <w:rPr>
          <w:sz w:val="24"/>
          <w:szCs w:val="24"/>
        </w:rPr>
        <w:t>CAPÍTULO IV - DA COORDENAÇÃO, REUNIÕES E DELIBERAÇÕES</w:t>
      </w:r>
    </w:p>
    <w:p>
      <w:pPr>
        <w:spacing w:before="183" w:after="183" w:line="360" w:lineRule="auto"/>
        <w:ind w:left="0" w:right="0" w:firstLine="0"/>
        <w:jc w:val="both"/>
        <w:rPr>
          <w:rFonts w:ascii="Arial" w:hAnsi="Arial" w:eastAsia="Arial" w:cs="Arial"/>
        </w:rPr>
      </w:pPr>
      <w:r>
        <w:rPr>
          <w:rFonts w:ascii="Arial" w:hAnsi="Arial" w:eastAsia="Arial" w:cs="Arial"/>
        </w:rPr>
        <w:t>Art. 9º. O CAE possuirá um coordenador que será escolhido dentre seus membros, pelo Conselho de Administração, ao qual competirá:</w:t>
      </w:r>
    </w:p>
    <w:p>
      <w:pPr>
        <w:numPr>
          <w:ilvl w:val="0"/>
          <w:numId w:val="5"/>
        </w:numPr>
        <w:spacing w:before="183" w:after="183" w:line="360" w:lineRule="auto"/>
        <w:ind w:left="1134" w:right="0" w:hanging="360"/>
        <w:jc w:val="both"/>
        <w:rPr>
          <w:rFonts w:ascii="Arial" w:hAnsi="Arial" w:eastAsia="Arial" w:cs="Arial"/>
        </w:rPr>
      </w:pPr>
      <w:r>
        <w:rPr>
          <w:rFonts w:ascii="Arial" w:hAnsi="Arial" w:eastAsia="Arial" w:cs="Arial"/>
        </w:rPr>
        <w:t>convocar e presidir as reuniões;</w:t>
      </w:r>
    </w:p>
    <w:p>
      <w:pPr>
        <w:numPr>
          <w:ilvl w:val="0"/>
          <w:numId w:val="5"/>
        </w:numPr>
        <w:spacing w:before="183" w:after="183" w:line="360" w:lineRule="auto"/>
        <w:ind w:left="1134" w:right="0" w:hanging="360"/>
        <w:jc w:val="both"/>
        <w:rPr>
          <w:rFonts w:ascii="Arial" w:hAnsi="Arial" w:eastAsia="Arial" w:cs="Arial"/>
        </w:rPr>
      </w:pPr>
      <w:r>
        <w:rPr>
          <w:rFonts w:ascii="Arial" w:hAnsi="Arial" w:eastAsia="Arial" w:cs="Arial"/>
        </w:rPr>
        <w:t>cumprir e fazer cumprir as normas deste Regimento;</w:t>
      </w:r>
    </w:p>
    <w:p>
      <w:pPr>
        <w:numPr>
          <w:ilvl w:val="0"/>
          <w:numId w:val="5"/>
        </w:numPr>
        <w:spacing w:before="183" w:after="183" w:line="360" w:lineRule="auto"/>
        <w:ind w:left="1134" w:right="0" w:hanging="360"/>
        <w:jc w:val="both"/>
        <w:rPr>
          <w:rFonts w:ascii="Arial" w:hAnsi="Arial" w:eastAsia="Arial" w:cs="Arial"/>
        </w:rPr>
      </w:pPr>
      <w:r>
        <w:rPr>
          <w:rFonts w:ascii="Arial" w:hAnsi="Arial" w:eastAsia="Arial" w:cs="Arial"/>
        </w:rPr>
        <w:t>aprovar as pautas e agendas das reuniões;</w:t>
      </w:r>
    </w:p>
    <w:p>
      <w:pPr>
        <w:numPr>
          <w:ilvl w:val="0"/>
          <w:numId w:val="5"/>
        </w:numPr>
        <w:spacing w:before="183" w:after="183" w:line="360" w:lineRule="auto"/>
        <w:ind w:left="1134" w:right="0" w:hanging="360"/>
        <w:jc w:val="both"/>
      </w:pPr>
      <w:r>
        <w:rPr>
          <w:rFonts w:ascii="Arial" w:hAnsi="Arial" w:eastAsia="Arial" w:cs="Arial"/>
        </w:rPr>
        <w:t>encaminhar ao Conselho de Administração e, se for o caso, a  outro órgão ou membro da administração as análises, pareceres e relatórios elaborados no âmbito do CAE;</w:t>
      </w:r>
    </w:p>
    <w:p>
      <w:pPr>
        <w:numPr>
          <w:ilvl w:val="0"/>
          <w:numId w:val="5"/>
        </w:numPr>
        <w:spacing w:before="183" w:after="183" w:line="360" w:lineRule="auto"/>
        <w:ind w:left="1134" w:right="0" w:hanging="360"/>
        <w:jc w:val="both"/>
        <w:rPr>
          <w:rFonts w:ascii="Arial" w:hAnsi="Arial" w:eastAsia="Arial" w:cs="Arial"/>
        </w:rPr>
      </w:pPr>
      <w:r>
        <w:rPr>
          <w:rFonts w:ascii="Arial" w:hAnsi="Arial" w:eastAsia="Arial" w:cs="Arial"/>
        </w:rPr>
        <w:t>convidar e/ou convocar, em nome do Comitê representantes do Conselho Fiscal, da Diretoria e outros gestores eventuais para participar das reuniões;</w:t>
      </w:r>
    </w:p>
    <w:p>
      <w:pPr>
        <w:numPr>
          <w:ilvl w:val="0"/>
          <w:numId w:val="5"/>
        </w:numPr>
        <w:spacing w:before="240" w:after="240" w:line="360" w:lineRule="auto"/>
        <w:ind w:left="1134" w:right="0" w:hanging="360"/>
        <w:jc w:val="both"/>
        <w:rPr>
          <w:rFonts w:ascii="Arial" w:hAnsi="Arial" w:eastAsia="Arial" w:cs="Arial"/>
        </w:rPr>
      </w:pPr>
      <w:r>
        <w:rPr>
          <w:rFonts w:ascii="Arial" w:hAnsi="Arial" w:eastAsia="Arial" w:cs="Arial"/>
        </w:rPr>
        <w:t>propor normas complementares necessárias à atuação do CAE junto ao Conselho de Administração;</w:t>
      </w:r>
    </w:p>
    <w:p>
      <w:pPr>
        <w:numPr>
          <w:ilvl w:val="0"/>
          <w:numId w:val="5"/>
        </w:numPr>
        <w:spacing w:before="240" w:after="240" w:line="360" w:lineRule="auto"/>
        <w:ind w:left="1134" w:right="0" w:hanging="360"/>
        <w:jc w:val="both"/>
        <w:rPr>
          <w:rFonts w:ascii="Arial" w:hAnsi="Arial" w:eastAsia="Arial" w:cs="Arial"/>
        </w:rPr>
      </w:pPr>
      <w:r>
        <w:rPr>
          <w:rFonts w:ascii="Arial" w:hAnsi="Arial" w:eastAsia="Arial" w:cs="Arial"/>
        </w:rPr>
        <w:t>receber e encaminhar ao Conselho de Administração os pedidos de renúncia e de vacância dos membros do CAE; e</w:t>
      </w:r>
    </w:p>
    <w:p>
      <w:pPr>
        <w:numPr>
          <w:ilvl w:val="0"/>
          <w:numId w:val="5"/>
        </w:numPr>
        <w:spacing w:before="240" w:after="240" w:line="360" w:lineRule="auto"/>
        <w:ind w:left="1134" w:right="0" w:hanging="283"/>
        <w:jc w:val="both"/>
        <w:rPr>
          <w:rFonts w:ascii="Arial" w:hAnsi="Arial" w:eastAsia="Arial" w:cs="Arial"/>
        </w:rPr>
      </w:pPr>
      <w:r>
        <w:rPr>
          <w:rFonts w:ascii="Arial" w:hAnsi="Arial" w:eastAsia="Arial" w:cs="Arial"/>
        </w:rPr>
        <w:t>praticar outros atos de natureza técnica ou administrativa necessário ao exercício de suas funções.</w:t>
      </w:r>
    </w:p>
    <w:p>
      <w:pPr>
        <w:spacing w:before="240" w:after="240" w:line="360" w:lineRule="auto"/>
        <w:ind w:left="0" w:right="0" w:firstLine="0"/>
        <w:jc w:val="both"/>
        <w:rPr>
          <w:rFonts w:ascii="Arial" w:hAnsi="Arial" w:eastAsia="Arial" w:cs="Arial"/>
        </w:rPr>
      </w:pPr>
      <w:r>
        <w:rPr>
          <w:rFonts w:ascii="Arial" w:hAnsi="Arial" w:eastAsia="Arial" w:cs="Arial"/>
        </w:rPr>
        <w:t>Parágrafo único. Na ausência ou impedimento temporário, o coordenador do CAE poderá ser substituído por membro indicado pelo próprio CAE, a ser referendado pelo Conselho de Administração para o caso da ausência ser superior a uma reunião.</w:t>
      </w:r>
    </w:p>
    <w:p>
      <w:pPr>
        <w:spacing w:before="240" w:after="240" w:line="360" w:lineRule="auto"/>
        <w:ind w:left="0" w:right="0" w:firstLine="0"/>
        <w:jc w:val="both"/>
        <w:rPr>
          <w:rFonts w:ascii="Arial" w:hAnsi="Arial" w:eastAsia="Arial" w:cs="Arial"/>
        </w:rPr>
      </w:pPr>
      <w:r>
        <w:rPr>
          <w:rFonts w:ascii="Arial" w:hAnsi="Arial" w:eastAsia="Arial" w:cs="Arial"/>
        </w:rPr>
        <w:t xml:space="preserve">Art. 10. O CAE desenvolverá suas atividades, principalmente, por meio de reuniões de trabalho convocadas por seu coordenador, para cumprimento de suas atribuições. </w:t>
      </w:r>
    </w:p>
    <w:p>
      <w:pPr>
        <w:spacing w:before="240" w:after="240" w:line="360" w:lineRule="auto"/>
        <w:ind w:left="0" w:right="0" w:firstLine="0"/>
        <w:jc w:val="both"/>
        <w:rPr>
          <w:rFonts w:ascii="Arial" w:hAnsi="Arial" w:eastAsia="Arial" w:cs="Arial"/>
        </w:rPr>
      </w:pPr>
      <w:r>
        <w:rPr>
          <w:rFonts w:ascii="Arial" w:hAnsi="Arial" w:eastAsia="Arial" w:cs="Arial"/>
        </w:rPr>
        <w:t>§ 1º As convocações das reuniões do CAE ocorrerão com o simultâneo encaminhamento da pauta, com antecedência mínima de 3 (três) dias da data da reunião, exceto quanto aos assuntos que exijam apreciação urgente.</w:t>
      </w:r>
    </w:p>
    <w:p>
      <w:pPr>
        <w:spacing w:before="240" w:after="240" w:line="360" w:lineRule="auto"/>
        <w:ind w:left="0" w:right="0" w:firstLine="0"/>
        <w:jc w:val="both"/>
        <w:rPr>
          <w:rFonts w:ascii="Arial" w:hAnsi="Arial" w:eastAsia="Arial" w:cs="Arial"/>
        </w:rPr>
      </w:pPr>
      <w:r>
        <w:rPr>
          <w:rFonts w:ascii="Arial" w:hAnsi="Arial" w:eastAsia="Arial" w:cs="Arial"/>
        </w:rPr>
        <w:t xml:space="preserve">§ 2º A pauta das reuniões será elaborada pelo coordenador, sendo que os demais membros poderão sugerir assuntos adicionais a serem apreciados pelo Comitê. </w:t>
      </w:r>
    </w:p>
    <w:p>
      <w:pPr>
        <w:spacing w:before="240" w:after="240" w:line="360" w:lineRule="auto"/>
        <w:ind w:left="0" w:right="0" w:firstLine="0"/>
        <w:jc w:val="both"/>
        <w:rPr>
          <w:rFonts w:ascii="Arial" w:hAnsi="Arial" w:eastAsia="Arial" w:cs="Arial"/>
        </w:rPr>
      </w:pPr>
      <w:r>
        <w:rPr>
          <w:rFonts w:ascii="Arial" w:hAnsi="Arial" w:eastAsia="Arial" w:cs="Arial"/>
        </w:rPr>
        <w:t xml:space="preserve">§ 3º As reuniões se instalarão com a presença da maioria simples dos membros do CAE. </w:t>
      </w:r>
    </w:p>
    <w:p>
      <w:pPr>
        <w:spacing w:before="240" w:after="240" w:line="360" w:lineRule="auto"/>
        <w:ind w:left="0" w:right="0" w:firstLine="0"/>
        <w:jc w:val="both"/>
        <w:rPr>
          <w:rFonts w:ascii="Arial" w:hAnsi="Arial" w:eastAsia="Arial" w:cs="Arial"/>
        </w:rPr>
      </w:pPr>
      <w:r>
        <w:rPr>
          <w:rFonts w:ascii="Arial" w:hAnsi="Arial" w:eastAsia="Arial" w:cs="Arial"/>
        </w:rPr>
        <w:t>§ 4º As reuniões do CAE serão realizadas, preferencialmente, na sede da empresa, podendo ser realizadas em local diverso se todos os membros julgarem conveniente.</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Art. 11. A empresa deverá divulgar as atas das reuniões do CAE.</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1º Caso o Conselho de Administração considere que a divulgação da ata possa pôr em risco interesse legítimo da empresa, a mesma divulgará apenas o extrato das atas.</w:t>
      </w:r>
    </w:p>
    <w:p>
      <w:pPr>
        <w:spacing w:before="240" w:after="240" w:line="360" w:lineRule="auto"/>
        <w:ind w:left="0" w:right="0" w:firstLine="0"/>
        <w:jc w:val="both"/>
        <w:rPr>
          <w:rFonts w:ascii="Arial" w:hAnsi="Arial" w:eastAsia="Arial" w:cs="Arial"/>
        </w:rPr>
      </w:pPr>
      <w:r>
        <w:rPr>
          <w:rFonts w:ascii="Arial" w:hAnsi="Arial" w:eastAsia="Arial" w:cs="Arial"/>
        </w:rPr>
        <w:t xml:space="preserve">§ 2º Os documentos previstos no § 1º deverão ser arquivados e mantidos pelo prazo de 5 (cinco) anos, contados a partir do último dia do mandato do membro do CAE. </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3º A restrição prevista no § 1º não será oponível aos órgãos de controle, que terão total e irrestrito acesso ao conteúdo das atas do CAE, observada a transferência de sigilo.</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4º Todos os relatórios e pareceres do CAE deverão ser aprovados em ata de reunião e encaminhados pelo seu coordenador, no prazo de 10 (dez) dias, ao Conselho de Administração para apreciação e decisão.</w:t>
      </w:r>
    </w:p>
    <w:p>
      <w:pPr>
        <w:spacing w:before="240" w:after="240" w:line="360" w:lineRule="auto"/>
        <w:ind w:left="0" w:right="0" w:firstLine="0"/>
        <w:jc w:val="both"/>
        <w:rPr>
          <w:rFonts w:ascii="Arial" w:hAnsi="Arial" w:eastAsia="Arial" w:cs="Arial"/>
        </w:rPr>
      </w:pPr>
      <w:r>
        <w:rPr>
          <w:rFonts w:ascii="Arial" w:hAnsi="Arial" w:eastAsia="Arial" w:cs="Arial"/>
        </w:rPr>
        <w:t xml:space="preserve">Art. 12. O CAE reunir-se-á: </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I – ordinariamente, no mínimo bimestralmente, de modo que as informações contábeis sejam sempre apreciadas antes de sua divulgação;</w:t>
      </w:r>
    </w:p>
    <w:p>
      <w:pPr>
        <w:spacing w:before="240" w:after="240" w:line="360" w:lineRule="auto"/>
        <w:ind w:left="0" w:right="0" w:firstLine="0"/>
        <w:jc w:val="both"/>
        <w:rPr>
          <w:rFonts w:ascii="Arial" w:hAnsi="Arial" w:eastAsia="Arial" w:cs="Arial"/>
        </w:rPr>
      </w:pPr>
      <w:r>
        <w:rPr>
          <w:rFonts w:ascii="Arial" w:hAnsi="Arial" w:eastAsia="Arial" w:cs="Arial"/>
        </w:rPr>
        <w:t>II - extraordinariamente, por convocação do coordenador, sempre que julgado necessário por qualquer um de seus membros, por solicitação da Diretoria, do Conselho Fiscal ou do Conselho de Administração.</w:t>
      </w:r>
    </w:p>
    <w:p>
      <w:pPr>
        <w:spacing w:before="240" w:after="240" w:line="360" w:lineRule="auto"/>
        <w:ind w:left="0" w:right="0" w:firstLine="0"/>
        <w:jc w:val="both"/>
        <w:rPr>
          <w:rFonts w:ascii="Arial" w:hAnsi="Arial" w:eastAsia="Arial" w:cs="Arial"/>
        </w:rPr>
      </w:pPr>
      <w:r>
        <w:rPr>
          <w:rFonts w:ascii="Arial" w:hAnsi="Arial" w:eastAsia="Arial" w:cs="Arial"/>
        </w:rPr>
        <w:t>§ 1º É permitida, desde que conste no aviso de convocação, a participação nas reuniões ordinárias e extraordinárias do Comitê por meio de sistema de conferência telefônica, videoconferência ou qualquer outro meio de comunicação que permita a identificação de membro e a comunicação simultânea com todas as demais pessoas presentes na reunião. Nesse caso, os membros do Comitê serão considerados presentes e deverão assinar a correspondente ata.</w:t>
      </w:r>
    </w:p>
    <w:p>
      <w:pPr>
        <w:spacing w:before="240" w:after="240" w:line="360" w:lineRule="auto"/>
        <w:ind w:left="0" w:right="0" w:firstLine="0"/>
        <w:jc w:val="both"/>
        <w:rPr>
          <w:rFonts w:ascii="Arial" w:hAnsi="Arial" w:eastAsia="Arial" w:cs="Arial"/>
        </w:rPr>
      </w:pPr>
      <w:r>
        <w:rPr>
          <w:rFonts w:ascii="Arial" w:hAnsi="Arial" w:eastAsia="Arial" w:cs="Arial"/>
        </w:rPr>
        <w:t>§ 2º O Comitê manterá registro em atas das presenças e eventuais ausências dos seus membros. A ausência injustificada por mais de 3 (três) reuniões será considerado como vacância e comunicado ao Conselho de Administração, para decisão.</w:t>
      </w:r>
    </w:p>
    <w:p>
      <w:pPr>
        <w:keepNext w:val="0"/>
        <w:keepLines w:val="0"/>
        <w:widowControl w:val="0"/>
        <w:spacing w:before="240" w:after="240" w:line="360" w:lineRule="auto"/>
        <w:ind w:left="0"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 3º O CAE deve elaborar calendário anual de reuniões, observado o calendário de reuniões do Conselho de Administração, Conselho Fiscal e de publicação das demonstrações financeiras. </w:t>
      </w:r>
    </w:p>
    <w:p>
      <w:pPr>
        <w:keepNext w:val="0"/>
        <w:keepLines w:val="0"/>
        <w:widowControl w:val="0"/>
        <w:spacing w:before="240" w:after="240" w:line="360" w:lineRule="auto"/>
        <w:ind w:left="0" w:right="0" w:firstLine="0"/>
        <w:jc w:val="left"/>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Art. 13.  As decisões do CAE serão tomadas por maioria simples dos votos dos seus integrantes. </w:t>
      </w:r>
    </w:p>
    <w:p>
      <w:pPr>
        <w:keepNext w:val="0"/>
        <w:keepLines w:val="0"/>
        <w:widowControl w:val="0"/>
        <w:spacing w:before="240" w:after="0" w:line="240" w:lineRule="auto"/>
        <w:ind w:left="0" w:right="0" w:firstLine="0"/>
        <w:jc w:val="left"/>
        <w:rPr>
          <w:rFonts w:ascii="Arial" w:hAnsi="Arial" w:eastAsia="Arial" w:cs="Arial"/>
          <w:sz w:val="12"/>
          <w:szCs w:val="12"/>
        </w:rPr>
      </w:pPr>
    </w:p>
    <w:p>
      <w:pPr>
        <w:pStyle w:val="2"/>
        <w:keepNext w:val="0"/>
        <w:numPr>
          <w:ilvl w:val="0"/>
          <w:numId w:val="1"/>
        </w:numPr>
        <w:tabs>
          <w:tab w:val="left" w:pos="1134"/>
        </w:tabs>
        <w:spacing w:before="240" w:after="240" w:line="360" w:lineRule="auto"/>
        <w:ind w:left="432" w:right="0" w:hanging="432"/>
        <w:jc w:val="center"/>
        <w:rPr>
          <w:rFonts w:ascii="Arial" w:hAnsi="Arial" w:eastAsia="Arial" w:cs="Arial"/>
          <w:sz w:val="24"/>
          <w:szCs w:val="24"/>
        </w:rPr>
      </w:pPr>
      <w:bookmarkStart w:id="3" w:name="_3znysh7" w:colFirst="0" w:colLast="0"/>
      <w:bookmarkEnd w:id="3"/>
      <w:r>
        <w:rPr>
          <w:sz w:val="24"/>
          <w:szCs w:val="24"/>
        </w:rPr>
        <w:t>CAPÍTULO V - DO APOIO E ASSESSORAMENTO</w:t>
      </w:r>
    </w:p>
    <w:p>
      <w:pPr>
        <w:spacing w:before="240" w:after="240" w:line="360" w:lineRule="auto"/>
        <w:ind w:left="0" w:right="0" w:firstLine="0"/>
        <w:jc w:val="both"/>
        <w:rPr>
          <w:rFonts w:ascii="Arial" w:hAnsi="Arial" w:eastAsia="Arial" w:cs="Arial"/>
        </w:rPr>
      </w:pPr>
      <w:r>
        <w:rPr>
          <w:rFonts w:ascii="Arial" w:hAnsi="Arial" w:eastAsia="Arial" w:cs="Arial"/>
        </w:rPr>
        <w:t>Art. 14. O apoio administrativo e logístico ao CAE serão disponibilizados pela Diretoria Executiva a quem compete:</w:t>
      </w:r>
    </w:p>
    <w:p>
      <w:pPr>
        <w:spacing w:before="240" w:after="240" w:line="360" w:lineRule="auto"/>
        <w:ind w:left="0" w:right="0" w:firstLine="0"/>
        <w:jc w:val="both"/>
        <w:rPr>
          <w:rFonts w:ascii="Arial" w:hAnsi="Arial" w:eastAsia="Arial" w:cs="Arial"/>
        </w:rPr>
      </w:pPr>
      <w:r>
        <w:rPr>
          <w:rFonts w:ascii="Arial" w:hAnsi="Arial" w:eastAsia="Arial" w:cs="Arial"/>
        </w:rPr>
        <w:t>I - preparar e distribuir a pauta das reuniões, consoante definições do Comitê;</w:t>
      </w:r>
    </w:p>
    <w:p>
      <w:pPr>
        <w:spacing w:before="240" w:after="240" w:line="360" w:lineRule="auto"/>
        <w:ind w:left="0" w:right="0" w:firstLine="0"/>
        <w:jc w:val="both"/>
        <w:rPr>
          <w:rFonts w:ascii="Arial" w:hAnsi="Arial" w:eastAsia="Arial" w:cs="Arial"/>
        </w:rPr>
      </w:pPr>
      <w:r>
        <w:rPr>
          <w:rFonts w:ascii="Arial" w:hAnsi="Arial" w:eastAsia="Arial" w:cs="Arial"/>
        </w:rPr>
        <w:t>II - secretariar as reuniões;</w:t>
      </w:r>
    </w:p>
    <w:p>
      <w:pPr>
        <w:spacing w:before="240" w:after="240" w:line="360" w:lineRule="auto"/>
        <w:ind w:left="0" w:right="0" w:firstLine="0"/>
        <w:jc w:val="both"/>
        <w:rPr>
          <w:rFonts w:ascii="Arial" w:hAnsi="Arial" w:eastAsia="Arial" w:cs="Arial"/>
        </w:rPr>
      </w:pPr>
      <w:r>
        <w:rPr>
          <w:rFonts w:ascii="Arial" w:hAnsi="Arial" w:eastAsia="Arial" w:cs="Arial"/>
        </w:rPr>
        <w:t xml:space="preserve">III - elaborar e providenciar a divulgação das atas das reuniões, nos moldes do §1º do Art.11, do presente Regimento Interno; </w:t>
      </w:r>
    </w:p>
    <w:p>
      <w:pPr>
        <w:spacing w:before="240" w:after="240" w:line="360" w:lineRule="auto"/>
        <w:ind w:left="0" w:right="0" w:firstLine="0"/>
        <w:jc w:val="both"/>
        <w:rPr>
          <w:rFonts w:ascii="Arial" w:hAnsi="Arial" w:eastAsia="Arial" w:cs="Arial"/>
        </w:rPr>
      </w:pPr>
      <w:r>
        <w:rPr>
          <w:rFonts w:ascii="Arial" w:hAnsi="Arial" w:eastAsia="Arial" w:cs="Arial"/>
        </w:rPr>
        <w:t>IV - organizar e manter sob sua guarda a documentação relativa às atividades desenvolvidas pelo Comitê; e</w:t>
      </w:r>
    </w:p>
    <w:p>
      <w:pPr>
        <w:spacing w:before="240" w:after="240" w:line="360" w:lineRule="auto"/>
        <w:ind w:left="0" w:right="0" w:firstLine="0"/>
        <w:jc w:val="both"/>
        <w:rPr>
          <w:rFonts w:ascii="Arial" w:hAnsi="Arial" w:eastAsia="Arial" w:cs="Arial"/>
        </w:rPr>
      </w:pPr>
      <w:r>
        <w:rPr>
          <w:rFonts w:ascii="Arial" w:hAnsi="Arial" w:eastAsia="Arial" w:cs="Arial"/>
        </w:rPr>
        <w:t xml:space="preserve">V - cuidar de outras atividades necessárias ao funcionamento do Comitê. </w:t>
      </w:r>
    </w:p>
    <w:p>
      <w:pPr>
        <w:spacing w:before="240" w:after="240" w:line="360" w:lineRule="auto"/>
        <w:ind w:left="0" w:right="0" w:firstLine="0"/>
        <w:jc w:val="both"/>
        <w:rPr>
          <w:rFonts w:ascii="Arial" w:hAnsi="Arial" w:eastAsia="Arial" w:cs="Arial"/>
        </w:rPr>
      </w:pPr>
      <w:r>
        <w:rPr>
          <w:rFonts w:ascii="Arial" w:hAnsi="Arial" w:eastAsia="Arial" w:cs="Arial"/>
        </w:rPr>
        <w:t>Parágrafo único. O assessoramento ao CAE quanto aos aspectos técnicos no desempenho de suas atribuições competirá à Auditoria Interna.</w:t>
      </w:r>
    </w:p>
    <w:p>
      <w:pPr>
        <w:pStyle w:val="2"/>
        <w:numPr>
          <w:ilvl w:val="0"/>
          <w:numId w:val="1"/>
        </w:numPr>
        <w:tabs>
          <w:tab w:val="left" w:pos="1134"/>
        </w:tabs>
        <w:spacing w:before="0" w:after="0" w:line="360" w:lineRule="auto"/>
        <w:ind w:left="432" w:right="0" w:hanging="432"/>
        <w:jc w:val="center"/>
        <w:rPr>
          <w:rFonts w:ascii="Arial" w:hAnsi="Arial" w:eastAsia="Arial" w:cs="Arial"/>
          <w:sz w:val="14"/>
          <w:szCs w:val="14"/>
        </w:rPr>
      </w:pPr>
    </w:p>
    <w:p>
      <w:pPr>
        <w:pStyle w:val="2"/>
        <w:numPr>
          <w:ilvl w:val="0"/>
          <w:numId w:val="1"/>
        </w:numPr>
        <w:tabs>
          <w:tab w:val="left" w:pos="1134"/>
        </w:tabs>
        <w:spacing w:before="0" w:after="0" w:line="360" w:lineRule="auto"/>
        <w:ind w:left="432" w:right="0" w:hanging="432"/>
        <w:jc w:val="center"/>
        <w:rPr>
          <w:rFonts w:ascii="Arial" w:hAnsi="Arial" w:eastAsia="Arial" w:cs="Arial"/>
          <w:sz w:val="24"/>
          <w:szCs w:val="24"/>
        </w:rPr>
      </w:pPr>
      <w:bookmarkStart w:id="4" w:name="_2et92p0" w:colFirst="0" w:colLast="0"/>
      <w:bookmarkEnd w:id="4"/>
      <w:r>
        <w:rPr>
          <w:sz w:val="24"/>
          <w:szCs w:val="24"/>
        </w:rPr>
        <w:t>CAPÍTULO VI</w:t>
      </w:r>
    </w:p>
    <w:p>
      <w:pPr>
        <w:pStyle w:val="2"/>
        <w:keepNext w:val="0"/>
        <w:numPr>
          <w:ilvl w:val="0"/>
          <w:numId w:val="1"/>
        </w:numPr>
        <w:tabs>
          <w:tab w:val="left" w:pos="1134"/>
        </w:tabs>
        <w:spacing w:before="0" w:after="240" w:line="360" w:lineRule="auto"/>
        <w:ind w:left="432" w:right="0" w:hanging="432"/>
        <w:jc w:val="center"/>
        <w:rPr>
          <w:rFonts w:ascii="Arial" w:hAnsi="Arial" w:eastAsia="Arial" w:cs="Arial"/>
          <w:sz w:val="24"/>
          <w:szCs w:val="24"/>
        </w:rPr>
      </w:pPr>
      <w:r>
        <w:rPr>
          <w:sz w:val="24"/>
          <w:szCs w:val="24"/>
        </w:rPr>
        <w:t xml:space="preserve">DAS RESPONSABILIDADE E DEVERES </w:t>
      </w:r>
    </w:p>
    <w:p>
      <w:pPr>
        <w:spacing w:before="240" w:after="240" w:line="360" w:lineRule="auto"/>
        <w:ind w:left="0" w:right="0" w:firstLine="0"/>
        <w:jc w:val="both"/>
        <w:rPr>
          <w:rFonts w:ascii="Arial" w:hAnsi="Arial" w:eastAsia="Arial" w:cs="Arial"/>
        </w:rPr>
      </w:pPr>
      <w:r>
        <w:rPr>
          <w:rFonts w:ascii="Arial" w:hAnsi="Arial" w:eastAsia="Arial" w:cs="Arial"/>
        </w:rPr>
        <w:t xml:space="preserve">Art 15. Os membros do CAE obrigam-se a cumprir o Estatuto Social, o Código de Conduta e Integridade e as demais normas internas aplicáveis. </w:t>
      </w:r>
    </w:p>
    <w:p>
      <w:pPr>
        <w:spacing w:before="240" w:after="240" w:line="360" w:lineRule="auto"/>
        <w:ind w:left="0" w:right="0" w:firstLine="0"/>
        <w:jc w:val="both"/>
      </w:pPr>
      <w:r>
        <w:rPr>
          <w:rFonts w:ascii="Arial" w:hAnsi="Arial" w:eastAsia="Arial" w:cs="Arial"/>
        </w:rPr>
        <w:t xml:space="preserve">Art 16. Os membros do CAE estarão sujeitos aos mesmos deveres e responsabilidades legais dos Administradores, nos termos do artigo 160 da Lei nº 6.404, de 15 de dezembro de 1976, neles incluído o dever de informar ao Conselho de Administração a existência de eventual conflito de interesse. </w:t>
      </w:r>
    </w:p>
    <w:p>
      <w:pPr>
        <w:spacing w:before="240" w:after="240" w:line="360" w:lineRule="auto"/>
        <w:ind w:left="0" w:right="0" w:firstLine="0"/>
        <w:jc w:val="both"/>
        <w:rPr>
          <w:rFonts w:ascii="Arial" w:hAnsi="Arial" w:eastAsia="Arial" w:cs="Arial"/>
        </w:rPr>
      </w:pPr>
      <w:r>
        <w:rPr>
          <w:rFonts w:ascii="Arial" w:hAnsi="Arial" w:eastAsia="Arial" w:cs="Arial"/>
        </w:rPr>
        <w:t xml:space="preserve">Art. 17. Todos os documentos e informações colocados à disposição do CAE, quando não estiverem disponíveis junto ao público, serão mantidos em sigilo, não podendo, de forma alguma, ser examinados por terceiros, salvo aqueles vinculados à Empresa ou quando assim deliberar o Comitê. </w:t>
      </w:r>
    </w:p>
    <w:p>
      <w:pPr>
        <w:spacing w:before="240" w:after="240" w:line="240" w:lineRule="auto"/>
        <w:ind w:left="0" w:right="0" w:firstLine="0"/>
        <w:jc w:val="both"/>
        <w:rPr>
          <w:rFonts w:ascii="Arial" w:hAnsi="Arial" w:eastAsia="Arial" w:cs="Arial"/>
          <w:sz w:val="12"/>
          <w:szCs w:val="12"/>
        </w:rPr>
      </w:pPr>
    </w:p>
    <w:p>
      <w:pPr>
        <w:pStyle w:val="2"/>
        <w:keepNext w:val="0"/>
        <w:numPr>
          <w:ilvl w:val="0"/>
          <w:numId w:val="1"/>
        </w:numPr>
        <w:tabs>
          <w:tab w:val="left" w:pos="1134"/>
        </w:tabs>
        <w:spacing w:before="0" w:after="0" w:line="360" w:lineRule="auto"/>
        <w:ind w:left="432" w:right="0" w:hanging="432"/>
        <w:jc w:val="center"/>
        <w:rPr>
          <w:rFonts w:ascii="Arial" w:hAnsi="Arial" w:eastAsia="Arial" w:cs="Arial"/>
          <w:sz w:val="24"/>
          <w:szCs w:val="24"/>
        </w:rPr>
      </w:pPr>
      <w:r>
        <w:rPr>
          <w:sz w:val="24"/>
          <w:szCs w:val="24"/>
        </w:rPr>
        <w:t>CAPÍTULO VII</w:t>
      </w:r>
    </w:p>
    <w:p>
      <w:pPr>
        <w:pStyle w:val="2"/>
        <w:keepNext w:val="0"/>
        <w:numPr>
          <w:ilvl w:val="0"/>
          <w:numId w:val="1"/>
        </w:numPr>
        <w:tabs>
          <w:tab w:val="left" w:pos="1134"/>
        </w:tabs>
        <w:spacing w:before="0" w:after="240" w:line="360" w:lineRule="auto"/>
        <w:ind w:left="432" w:right="0" w:hanging="432"/>
        <w:jc w:val="center"/>
        <w:rPr>
          <w:rFonts w:ascii="Arial" w:hAnsi="Arial" w:eastAsia="Arial" w:cs="Arial"/>
          <w:sz w:val="24"/>
          <w:szCs w:val="24"/>
        </w:rPr>
      </w:pPr>
      <w:bookmarkStart w:id="5" w:name="_tyjcwt" w:colFirst="0" w:colLast="0"/>
      <w:bookmarkEnd w:id="5"/>
      <w:r>
        <w:rPr>
          <w:sz w:val="24"/>
          <w:szCs w:val="24"/>
        </w:rPr>
        <w:t>DAS DISPOSIÇÕES GERAIS</w:t>
      </w:r>
    </w:p>
    <w:p>
      <w:pPr>
        <w:spacing w:before="240" w:after="240" w:line="360" w:lineRule="auto"/>
        <w:ind w:left="0" w:right="0" w:firstLine="0"/>
        <w:jc w:val="both"/>
        <w:rPr>
          <w:rFonts w:ascii="Arial" w:hAnsi="Arial" w:eastAsia="Arial" w:cs="Arial"/>
        </w:rPr>
      </w:pPr>
      <w:r>
        <w:rPr>
          <w:rFonts w:ascii="Arial" w:hAnsi="Arial" w:eastAsia="Arial" w:cs="Arial"/>
        </w:rPr>
        <w:t>Art. 18. Os membros do CAE deverão apresentar todos os documentos solicitados previamente, inclusive declaração de bens, de forma a integrar respectivo cadastro junto a empresa.</w:t>
      </w:r>
    </w:p>
    <w:p>
      <w:pPr>
        <w:spacing w:before="240" w:after="240" w:line="360" w:lineRule="auto"/>
        <w:ind w:left="0" w:right="0" w:firstLine="0"/>
        <w:jc w:val="both"/>
        <w:rPr>
          <w:rFonts w:ascii="Arial" w:hAnsi="Arial" w:eastAsia="Arial" w:cs="Arial"/>
        </w:rPr>
      </w:pPr>
      <w:r>
        <w:rPr>
          <w:rFonts w:ascii="Arial" w:hAnsi="Arial" w:eastAsia="Arial" w:cs="Arial"/>
        </w:rPr>
        <w:t>Art. 19. A remuneração de cada membro do CAE não será superior à remuneração recebida por cada membro do Conselho de Administração.</w:t>
      </w:r>
    </w:p>
    <w:p>
      <w:pPr>
        <w:spacing w:before="240" w:after="240" w:line="360" w:lineRule="auto"/>
        <w:ind w:left="0" w:right="0" w:firstLine="0"/>
        <w:jc w:val="both"/>
        <w:rPr>
          <w:rFonts w:ascii="Arial" w:hAnsi="Arial" w:eastAsia="Arial" w:cs="Arial"/>
        </w:rPr>
      </w:pPr>
      <w:r>
        <w:rPr>
          <w:rFonts w:ascii="Arial" w:hAnsi="Arial" w:eastAsia="Arial" w:cs="Arial"/>
        </w:rPr>
        <w:t>Art. 20. O CAE deverá realizar anualmente prestação contas referente à execução do Plano de Trabalho apresentado, cujo resultado será enviado pelo coordenador do CAE para conhecimento do Conselho de Administração.</w:t>
      </w:r>
    </w:p>
    <w:p>
      <w:pPr>
        <w:tabs>
          <w:tab w:val="left" w:pos="1134"/>
        </w:tabs>
        <w:spacing w:before="240" w:after="240" w:line="360" w:lineRule="auto"/>
        <w:ind w:left="0" w:right="0" w:firstLine="0"/>
        <w:jc w:val="both"/>
        <w:rPr>
          <w:rFonts w:ascii="Arial" w:hAnsi="Arial" w:eastAsia="Arial" w:cs="Arial"/>
          <w:b w:val="0"/>
          <w:color w:val="000000"/>
          <w:sz w:val="24"/>
          <w:szCs w:val="24"/>
        </w:rPr>
      </w:pPr>
      <w:r>
        <w:rPr>
          <w:rFonts w:ascii="Arial" w:hAnsi="Arial" w:eastAsia="Arial" w:cs="Arial"/>
          <w:b w:val="0"/>
          <w:color w:val="000000"/>
          <w:sz w:val="24"/>
          <w:szCs w:val="24"/>
        </w:rPr>
        <w:t>Art. 21. Os casos omissos relativos a este Regimento serão submetidos ao Conselho de Administração.</w:t>
      </w:r>
    </w:p>
    <w:p>
      <w:pPr>
        <w:tabs>
          <w:tab w:val="left" w:pos="1134"/>
        </w:tabs>
        <w:spacing w:before="240" w:after="240" w:line="360" w:lineRule="auto"/>
        <w:ind w:left="0" w:right="0" w:firstLine="0"/>
        <w:jc w:val="both"/>
        <w:rPr>
          <w:rFonts w:ascii="Arial" w:hAnsi="Arial" w:eastAsia="Arial" w:cs="Arial"/>
        </w:rPr>
      </w:pPr>
    </w:p>
    <w:p>
      <w:pPr>
        <w:tabs>
          <w:tab w:val="left" w:pos="1134"/>
        </w:tabs>
        <w:spacing w:before="240" w:after="240" w:line="360" w:lineRule="auto"/>
        <w:ind w:left="0" w:right="0" w:firstLine="0"/>
        <w:jc w:val="both"/>
        <w:rPr>
          <w:rFonts w:ascii="Arial" w:hAnsi="Arial" w:eastAsia="Arial" w:cs="Arial"/>
        </w:rPr>
      </w:pPr>
    </w:p>
    <w:p>
      <w:pPr>
        <w:tabs>
          <w:tab w:val="left" w:pos="1134"/>
        </w:tabs>
        <w:spacing w:before="240" w:after="240" w:line="360" w:lineRule="auto"/>
        <w:ind w:left="0" w:right="0" w:firstLine="0"/>
        <w:jc w:val="both"/>
        <w:rPr>
          <w:rFonts w:ascii="Arial" w:hAnsi="Arial" w:eastAsia="Arial" w:cs="Arial"/>
        </w:rPr>
      </w:pPr>
    </w:p>
    <w:p>
      <w:pPr>
        <w:shd w:val="clear" w:fill="FFFFFF"/>
        <w:jc w:val="center"/>
        <w:rPr>
          <w:rFonts w:ascii="Arial" w:hAnsi="Arial" w:eastAsia="Arial" w:cs="Arial"/>
        </w:rPr>
      </w:pPr>
      <w:r>
        <w:rPr>
          <w:rFonts w:ascii="Arial" w:hAnsi="Arial" w:eastAsia="Arial" w:cs="Arial"/>
        </w:rPr>
        <w:t>TABELA DE CONTROLE DE ALTERAÇÕES DESTE DOCUMENTO</w:t>
      </w:r>
    </w:p>
    <w:tbl>
      <w:tblPr>
        <w:tblStyle w:val="13"/>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85"/>
        <w:gridCol w:w="1380"/>
        <w:gridCol w:w="3495"/>
        <w:gridCol w:w="2970"/>
      </w:tblGrid>
      <w:tr>
        <w:tc>
          <w:tcPr>
            <w:tcW w:w="1785" w:type="dxa"/>
            <w:shd w:val="clear" w:color="auto" w:fill="073763"/>
            <w:tcMar>
              <w:top w:w="100" w:type="dxa"/>
              <w:left w:w="100" w:type="dxa"/>
              <w:bottom w:w="100" w:type="dxa"/>
              <w:right w:w="100" w:type="dxa"/>
            </w:tcMar>
            <w:vAlign w:val="center"/>
          </w:tcPr>
          <w:p>
            <w:pPr>
              <w:shd w:val="clear" w:fill="auto"/>
              <w:jc w:val="center"/>
              <w:rPr>
                <w:b/>
                <w:color w:val="FFFFFF"/>
                <w:sz w:val="22"/>
                <w:szCs w:val="22"/>
              </w:rPr>
            </w:pPr>
            <w:r>
              <w:rPr>
                <w:b/>
                <w:color w:val="FFFFFF"/>
                <w:sz w:val="22"/>
                <w:szCs w:val="22"/>
              </w:rPr>
              <w:t>Nº DA REVISÃO</w:t>
            </w:r>
          </w:p>
        </w:tc>
        <w:tc>
          <w:tcPr>
            <w:tcW w:w="1380" w:type="dxa"/>
            <w:shd w:val="clear" w:color="auto" w:fill="073763"/>
            <w:tcMar>
              <w:top w:w="100" w:type="dxa"/>
              <w:left w:w="100" w:type="dxa"/>
              <w:bottom w:w="100" w:type="dxa"/>
              <w:right w:w="100" w:type="dxa"/>
            </w:tcMar>
            <w:vAlign w:val="center"/>
          </w:tcPr>
          <w:p>
            <w:pPr>
              <w:shd w:val="clear" w:fill="auto"/>
              <w:jc w:val="center"/>
              <w:rPr>
                <w:b/>
                <w:color w:val="FFFFFF"/>
                <w:sz w:val="22"/>
                <w:szCs w:val="22"/>
              </w:rPr>
            </w:pPr>
            <w:r>
              <w:rPr>
                <w:b/>
                <w:color w:val="FFFFFF"/>
                <w:sz w:val="22"/>
                <w:szCs w:val="22"/>
              </w:rPr>
              <w:t>DATA</w:t>
            </w:r>
          </w:p>
        </w:tc>
        <w:tc>
          <w:tcPr>
            <w:tcW w:w="3495" w:type="dxa"/>
            <w:shd w:val="clear" w:color="auto" w:fill="073763"/>
            <w:tcMar>
              <w:top w:w="100" w:type="dxa"/>
              <w:left w:w="100" w:type="dxa"/>
              <w:bottom w:w="100" w:type="dxa"/>
              <w:right w:w="100" w:type="dxa"/>
            </w:tcMar>
            <w:vAlign w:val="center"/>
          </w:tcPr>
          <w:p>
            <w:pPr>
              <w:shd w:val="clear" w:fill="auto"/>
              <w:jc w:val="center"/>
              <w:rPr>
                <w:b/>
                <w:color w:val="FFFFFF"/>
                <w:sz w:val="22"/>
                <w:szCs w:val="22"/>
              </w:rPr>
            </w:pPr>
            <w:r>
              <w:rPr>
                <w:b/>
                <w:color w:val="FFFFFF"/>
                <w:sz w:val="22"/>
                <w:szCs w:val="22"/>
              </w:rPr>
              <w:t>ATUALIZAÇÃO REALIZADA</w:t>
            </w:r>
          </w:p>
        </w:tc>
        <w:tc>
          <w:tcPr>
            <w:tcW w:w="2970" w:type="dxa"/>
            <w:shd w:val="clear" w:color="auto" w:fill="073763"/>
            <w:tcMar>
              <w:top w:w="100" w:type="dxa"/>
              <w:left w:w="100" w:type="dxa"/>
              <w:bottom w:w="100" w:type="dxa"/>
              <w:right w:w="100" w:type="dxa"/>
            </w:tcMar>
            <w:vAlign w:val="center"/>
          </w:tcPr>
          <w:p>
            <w:pPr>
              <w:shd w:val="clear" w:fill="auto"/>
              <w:jc w:val="center"/>
              <w:rPr>
                <w:b/>
                <w:color w:val="FFFFFF"/>
                <w:sz w:val="22"/>
                <w:szCs w:val="22"/>
              </w:rPr>
            </w:pPr>
            <w:r>
              <w:rPr>
                <w:b/>
                <w:color w:val="FFFFFF"/>
                <w:sz w:val="22"/>
                <w:szCs w:val="22"/>
              </w:rPr>
              <w:t>RESPONSÁVEL</w:t>
            </w:r>
          </w:p>
        </w:tc>
      </w:tr>
      <w:tr>
        <w:tc>
          <w:tcPr>
            <w:tcW w:w="1785" w:type="dxa"/>
            <w:shd w:val="clear" w:color="auto" w:fill="auto"/>
            <w:tcMar>
              <w:top w:w="100" w:type="dxa"/>
              <w:left w:w="100" w:type="dxa"/>
              <w:bottom w:w="100" w:type="dxa"/>
              <w:right w:w="100" w:type="dxa"/>
            </w:tcMar>
            <w:vAlign w:val="top"/>
          </w:tcPr>
          <w:p>
            <w:pPr>
              <w:shd w:val="clear" w:fill="auto"/>
              <w:jc w:val="center"/>
              <w:rPr>
                <w:sz w:val="22"/>
                <w:szCs w:val="22"/>
              </w:rPr>
            </w:pPr>
            <w:r>
              <w:rPr>
                <w:sz w:val="22"/>
                <w:szCs w:val="22"/>
              </w:rPr>
              <w:t>Versão Inicial</w:t>
            </w:r>
          </w:p>
        </w:tc>
        <w:tc>
          <w:tcPr>
            <w:tcW w:w="1380" w:type="dxa"/>
            <w:shd w:val="clear" w:color="auto" w:fill="auto"/>
            <w:tcMar>
              <w:top w:w="100" w:type="dxa"/>
              <w:left w:w="100" w:type="dxa"/>
              <w:bottom w:w="100" w:type="dxa"/>
              <w:right w:w="100" w:type="dxa"/>
            </w:tcMar>
            <w:vAlign w:val="top"/>
          </w:tcPr>
          <w:p>
            <w:pPr>
              <w:shd w:val="clear" w:fill="auto"/>
              <w:jc w:val="center"/>
              <w:rPr>
                <w:sz w:val="22"/>
                <w:szCs w:val="22"/>
              </w:rPr>
            </w:pPr>
            <w:r>
              <w:rPr>
                <w:sz w:val="22"/>
                <w:szCs w:val="22"/>
              </w:rPr>
              <w:t>28/05/2019</w:t>
            </w:r>
          </w:p>
        </w:tc>
        <w:tc>
          <w:tcPr>
            <w:tcW w:w="3495" w:type="dxa"/>
            <w:shd w:val="clear" w:color="auto" w:fill="auto"/>
            <w:tcMar>
              <w:top w:w="100" w:type="dxa"/>
              <w:left w:w="100" w:type="dxa"/>
              <w:bottom w:w="100" w:type="dxa"/>
              <w:right w:w="100" w:type="dxa"/>
            </w:tcMar>
            <w:vAlign w:val="top"/>
          </w:tcPr>
          <w:p>
            <w:pPr>
              <w:shd w:val="clear" w:fill="auto"/>
              <w:rPr>
                <w:sz w:val="22"/>
                <w:szCs w:val="22"/>
              </w:rPr>
            </w:pPr>
            <w:r>
              <w:rPr>
                <w:sz w:val="22"/>
                <w:szCs w:val="22"/>
              </w:rPr>
              <w:t>ELABORAÇÃO DO DOCUMENTO</w:t>
            </w:r>
          </w:p>
        </w:tc>
        <w:tc>
          <w:tcPr>
            <w:tcW w:w="2970" w:type="dxa"/>
            <w:shd w:val="clear" w:color="auto" w:fill="auto"/>
            <w:tcMar>
              <w:top w:w="100" w:type="dxa"/>
              <w:left w:w="100" w:type="dxa"/>
              <w:bottom w:w="100" w:type="dxa"/>
              <w:right w:w="100" w:type="dxa"/>
            </w:tcMar>
            <w:vAlign w:val="top"/>
          </w:tcPr>
          <w:p>
            <w:pPr>
              <w:shd w:val="clear" w:fill="auto"/>
              <w:rPr>
                <w:sz w:val="22"/>
                <w:szCs w:val="22"/>
              </w:rPr>
            </w:pPr>
            <w:r>
              <w:rPr>
                <w:sz w:val="22"/>
                <w:szCs w:val="22"/>
              </w:rPr>
              <w:t>FAUSTER BARBOSA FERREIRA</w:t>
            </w:r>
          </w:p>
        </w:tc>
      </w:tr>
      <w:tr>
        <w:trPr>
          <w:trHeight w:val="300" w:hRule="atLeast"/>
        </w:trPr>
        <w:tc>
          <w:tcPr>
            <w:tcW w:w="1785" w:type="dxa"/>
            <w:shd w:val="clear" w:color="auto" w:fill="auto"/>
            <w:tcMar>
              <w:top w:w="100" w:type="dxa"/>
              <w:left w:w="100" w:type="dxa"/>
              <w:bottom w:w="100" w:type="dxa"/>
              <w:right w:w="100" w:type="dxa"/>
            </w:tcMar>
            <w:vAlign w:val="top"/>
          </w:tcPr>
          <w:p>
            <w:pPr>
              <w:shd w:val="clear" w:fill="auto"/>
              <w:jc w:val="center"/>
              <w:rPr>
                <w:sz w:val="22"/>
                <w:szCs w:val="22"/>
              </w:rPr>
            </w:pPr>
          </w:p>
        </w:tc>
        <w:tc>
          <w:tcPr>
            <w:tcW w:w="1380" w:type="dxa"/>
            <w:shd w:val="clear" w:color="auto" w:fill="auto"/>
            <w:tcMar>
              <w:top w:w="100" w:type="dxa"/>
              <w:left w:w="100" w:type="dxa"/>
              <w:bottom w:w="100" w:type="dxa"/>
              <w:right w:w="100" w:type="dxa"/>
            </w:tcMar>
            <w:vAlign w:val="top"/>
          </w:tcPr>
          <w:p>
            <w:pPr>
              <w:shd w:val="clear" w:fill="auto"/>
              <w:jc w:val="center"/>
              <w:rPr>
                <w:sz w:val="22"/>
                <w:szCs w:val="22"/>
              </w:rPr>
            </w:pPr>
          </w:p>
        </w:tc>
        <w:tc>
          <w:tcPr>
            <w:tcW w:w="3495" w:type="dxa"/>
            <w:shd w:val="clear" w:color="auto" w:fill="auto"/>
            <w:tcMar>
              <w:top w:w="100" w:type="dxa"/>
              <w:left w:w="100" w:type="dxa"/>
              <w:bottom w:w="100" w:type="dxa"/>
              <w:right w:w="100" w:type="dxa"/>
            </w:tcMar>
            <w:vAlign w:val="top"/>
          </w:tcPr>
          <w:p>
            <w:pPr>
              <w:shd w:val="clear" w:fill="auto"/>
              <w:rPr>
                <w:sz w:val="22"/>
                <w:szCs w:val="22"/>
              </w:rPr>
            </w:pPr>
          </w:p>
        </w:tc>
        <w:tc>
          <w:tcPr>
            <w:tcW w:w="2970" w:type="dxa"/>
            <w:shd w:val="clear" w:color="auto" w:fill="auto"/>
            <w:tcMar>
              <w:top w:w="100" w:type="dxa"/>
              <w:left w:w="100" w:type="dxa"/>
              <w:bottom w:w="100" w:type="dxa"/>
              <w:right w:w="100" w:type="dxa"/>
            </w:tcMar>
            <w:vAlign w:val="top"/>
          </w:tcPr>
          <w:p>
            <w:pPr>
              <w:shd w:val="clear" w:fill="auto"/>
              <w:rPr>
                <w:sz w:val="22"/>
                <w:szCs w:val="22"/>
              </w:rPr>
            </w:pPr>
          </w:p>
        </w:tc>
      </w:tr>
    </w:tbl>
    <w:p>
      <w:pPr>
        <w:shd w:val="clear" w:fill="FFFFFF"/>
        <w:spacing w:before="120" w:after="120" w:line="360" w:lineRule="auto"/>
        <w:jc w:val="both"/>
        <w:rPr>
          <w:rFonts w:ascii="Arial" w:hAnsi="Arial" w:eastAsia="Arial" w:cs="Arial"/>
        </w:rPr>
      </w:pPr>
    </w:p>
    <w:sectPr>
      <w:headerReference r:id="rId4" w:type="default"/>
      <w:footerReference r:id="rId5" w:type="default"/>
      <w:pgSz w:w="11906" w:h="16838"/>
      <w:pgMar w:top="1530" w:right="850" w:bottom="1913" w:left="1701" w:header="0" w:footer="3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Klavika Lt">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akar">
    <w:panose1 w:val="02000600040000000000"/>
    <w:charset w:val="00"/>
    <w:family w:val="auto"/>
    <w:pitch w:val="default"/>
    <w:sig w:usb0="80040001" w:usb1="00002000" w:usb2="00000000" w:usb3="00000000" w:csb0="20000000" w:csb1="8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620" w:hRule="atLeast"/>
      </w:trPr>
      <w:tc>
        <w:tcPr>
          <w:tcW w:w="3795" w:type="dxa"/>
          <w:shd w:val="clear" w:color="auto" w:fill="auto"/>
        </w:tcPr>
        <w:p>
          <w:pPr>
            <w:keepNext w:val="0"/>
            <w:keepLines w:val="0"/>
            <w:widowControl w:val="0"/>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val="0"/>
            <w:keepLines w:val="0"/>
            <w:widowControl w:val="0"/>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val="0"/>
            <w:keepLines w:val="0"/>
            <w:widowControl w:val="0"/>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val="0"/>
            <w:keepLines w:val="0"/>
            <w:widowControl w:val="0"/>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p>
        <w:p>
          <w:pPr>
            <w:keepNext w:val="0"/>
            <w:keepLines w:val="0"/>
            <w:widowControl w:val="0"/>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r>
            <w:rPr>
              <w:rFonts w:ascii="Arial" w:hAnsi="Arial" w:eastAsia="Arial" w:cs="Arial"/>
              <w:b/>
              <w:i w:val="0"/>
              <w:smallCaps w:val="0"/>
              <w:strike w:val="0"/>
              <w:color w:val="003366"/>
              <w:sz w:val="16"/>
              <w:szCs w:val="16"/>
              <w:u w:val="none"/>
              <w:vertAlign w:val="baseline"/>
            </w:rPr>
            <w:t>Secretaria da Controladoria-Geral Estado</w:t>
          </w:r>
        </w:p>
        <w:p>
          <w:pPr>
            <w:keepNext w:val="0"/>
            <w:keepLines w:val="0"/>
            <w:widowControl w:val="0"/>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Rua Santo Elias, n.º 535, Espinheiro – Recife/PE</w:t>
          </w:r>
        </w:p>
        <w:p>
          <w:pPr>
            <w:keepNext w:val="0"/>
            <w:keepLines w:val="0"/>
            <w:widowControl w:val="0"/>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Telefone: (081) 3183-0800</w:t>
          </w:r>
        </w:p>
        <w:p>
          <w:pPr>
            <w:keepNext w:val="0"/>
            <w:keepLines w:val="0"/>
            <w:widowControl w:val="0"/>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www.scge.pe.gov.br</w:t>
          </w:r>
        </w:p>
        <w:p>
          <w:pPr>
            <w:keepNext w:val="0"/>
            <w:keepLines w:val="0"/>
            <w:widowControl w:val="0"/>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Twitter: @scge_pe</w:t>
          </w:r>
        </w:p>
        <w:p>
          <w:pPr>
            <w:keepNext w:val="0"/>
            <w:keepLines w:val="0"/>
            <w:widowControl w:val="0"/>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Instagram: @scge_pe</w:t>
          </w:r>
        </w:p>
      </w:tc>
    </w:tr>
  </w:tbl>
  <w:p>
    <w:pPr>
      <w:keepNext w:val="0"/>
      <w:keepLines w:val="0"/>
      <w:widowControl w:val="0"/>
      <w:tabs>
        <w:tab w:val="center" w:pos="4819"/>
        <w:tab w:val="right" w:pos="9638"/>
      </w:tabs>
      <w:spacing w:before="0" w:after="0" w:line="240" w:lineRule="auto"/>
      <w:ind w:left="0" w:right="0" w:firstLine="0"/>
      <w:jc w:val="center"/>
      <w:rPr>
        <w:rFonts w:ascii="Arial" w:hAnsi="Arial" w:eastAsia="Arial" w:cs="Arial"/>
        <w:b/>
        <w:i w:val="0"/>
        <w:smallCaps w:val="0"/>
        <w:strike w:val="0"/>
        <w:color w:val="004586"/>
        <w:sz w:val="16"/>
        <w:szCs w:val="16"/>
        <w:u w:val="none"/>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keepNext w:val="0"/>
        <w:keepLines w:val="0"/>
        <w:widowControl w:val="0"/>
        <w:spacing w:before="0" w:after="0" w:line="240" w:lineRule="auto"/>
        <w:ind w:left="339" w:right="0" w:hanging="339"/>
        <w:jc w:val="left"/>
      </w:pPr>
      <w:r>
        <w:rPr>
          <w:vertAlign w:val="superscript"/>
        </w:rPr>
        <w:footnoteRef/>
      </w:r>
      <w:r>
        <w:rPr>
          <w:rFonts w:ascii="Times New Roman" w:hAnsi="Times New Roman" w:eastAsia="Times New Roman" w:cs="Times New Roman"/>
          <w:b w:val="0"/>
          <w:i w:val="0"/>
          <w:smallCaps w:val="0"/>
          <w:strike w:val="0"/>
          <w:color w:val="000000"/>
          <w:sz w:val="20"/>
          <w:szCs w:val="20"/>
          <w:u w:val="none"/>
          <w:vertAlign w:val="baseline"/>
        </w:rPr>
        <w:tab/>
      </w:r>
      <w:r>
        <w:rPr>
          <w:rFonts w:ascii="Arial" w:hAnsi="Arial" w:eastAsia="Arial" w:cs="Arial"/>
          <w:i w:val="0"/>
          <w:smallCaps w:val="0"/>
          <w:strike w:val="0"/>
          <w:color w:val="000000"/>
          <w:sz w:val="20"/>
          <w:szCs w:val="20"/>
          <w:u w:val="none"/>
          <w:vertAlign w:val="baseline"/>
        </w:rPr>
        <w:t>Lei Federal nº13.303/2016, Art.24(Caput)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widowControl/>
      <w:shd w:val="clear" w:fill="FFFFFF"/>
      <w:tabs>
        <w:tab w:val="center" w:pos="4819"/>
        <w:tab w:val="right" w:pos="9638"/>
      </w:tabs>
      <w:jc w:val="center"/>
      <w:rPr>
        <w:rFonts w:ascii="Times New Roman" w:hAnsi="Times New Roman" w:eastAsia="Times New Roman" w:cs="Times New Roman"/>
      </w:rPr>
    </w:pPr>
  </w:p>
  <w:p>
    <w:pPr>
      <w:keepNext/>
      <w:shd w:val="clear" w:fill="FFFFFF"/>
      <w:tabs>
        <w:tab w:val="center" w:pos="4819"/>
        <w:tab w:val="right" w:pos="9638"/>
      </w:tabs>
      <w:jc w:val="center"/>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rPr>
      <w:drawing>
        <wp:inline distT="114300" distB="114300" distL="114300" distR="114300">
          <wp:extent cx="3401060" cy="74676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keepNext w:val="0"/>
      <w:keepLines w:val="0"/>
      <w:widowControl w:val="0"/>
      <w:tabs>
        <w:tab w:val="center" w:pos="4819"/>
        <w:tab w:val="right" w:pos="96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132923">
    <w:nsid w:val="5CEE7AFB"/>
    <w:multiLevelType w:val="multilevel"/>
    <w:tmpl w:val="5CEE7AFB"/>
    <w:lvl w:ilvl="0" w:tentative="1">
      <w:start w:val="1"/>
      <w:numFmt w:val="decimal"/>
      <w:lvlText w:val=""/>
      <w:lvlJc w:val="left"/>
      <w:pPr>
        <w:ind w:left="432" w:hanging="432"/>
      </w:pPr>
    </w:lvl>
    <w:lvl w:ilvl="1" w:tentative="1">
      <w:start w:val="1"/>
      <w:numFmt w:val="decimal"/>
      <w:lvlText w:val=""/>
      <w:lvlJc w:val="left"/>
      <w:pPr>
        <w:ind w:left="576" w:hanging="576"/>
      </w:pPr>
    </w:lvl>
    <w:lvl w:ilvl="2" w:tentative="1">
      <w:start w:val="1"/>
      <w:numFmt w:val="decimal"/>
      <w:lvlText w:val=""/>
      <w:lvlJc w:val="left"/>
      <w:pPr>
        <w:ind w:left="720" w:hanging="720"/>
      </w:pPr>
    </w:lvl>
    <w:lvl w:ilvl="3" w:tentative="1">
      <w:start w:val="1"/>
      <w:numFmt w:val="decimal"/>
      <w:lvlText w:val=""/>
      <w:lvlJc w:val="left"/>
      <w:pPr>
        <w:ind w:left="864" w:hanging="864"/>
      </w:pPr>
    </w:lvl>
    <w:lvl w:ilvl="4" w:tentative="1">
      <w:start w:val="1"/>
      <w:numFmt w:val="decimal"/>
      <w:lvlText w:val=""/>
      <w:lvlJc w:val="left"/>
      <w:pPr>
        <w:ind w:left="1008" w:hanging="1008"/>
      </w:pPr>
    </w:lvl>
    <w:lvl w:ilvl="5" w:tentative="1">
      <w:start w:val="1"/>
      <w:numFmt w:val="decimal"/>
      <w:lvlText w:val=""/>
      <w:lvlJc w:val="left"/>
      <w:pPr>
        <w:ind w:left="1152" w:hanging="1152"/>
      </w:pPr>
    </w:lvl>
    <w:lvl w:ilvl="6" w:tentative="1">
      <w:start w:val="1"/>
      <w:numFmt w:val="decimal"/>
      <w:lvlText w:val=""/>
      <w:lvlJc w:val="left"/>
      <w:pPr>
        <w:ind w:left="1296" w:hanging="1296"/>
      </w:pPr>
    </w:lvl>
    <w:lvl w:ilvl="7" w:tentative="1">
      <w:start w:val="1"/>
      <w:numFmt w:val="decimal"/>
      <w:lvlText w:val=""/>
      <w:lvlJc w:val="left"/>
      <w:pPr>
        <w:ind w:left="1440" w:hanging="1440"/>
      </w:pPr>
    </w:lvl>
    <w:lvl w:ilvl="8" w:tentative="1">
      <w:start w:val="1"/>
      <w:numFmt w:val="decimal"/>
      <w:lvlText w:val=""/>
      <w:lvlJc w:val="left"/>
      <w:pPr>
        <w:ind w:left="1584" w:hanging="1584"/>
      </w:pPr>
    </w:lvl>
  </w:abstractNum>
  <w:abstractNum w:abstractNumId="1559132967">
    <w:nsid w:val="5CEE7B27"/>
    <w:multiLevelType w:val="multilevel"/>
    <w:tmpl w:val="5CEE7B27"/>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132934">
    <w:nsid w:val="5CEE7B06"/>
    <w:multiLevelType w:val="multilevel"/>
    <w:tmpl w:val="5CEE7B06"/>
    <w:lvl w:ilvl="0" w:tentative="1">
      <w:start w:val="1"/>
      <w:numFmt w:val="upperRoman"/>
      <w:lvlText w:val="%1."/>
      <w:lvlJc w:val="right"/>
      <w:pPr>
        <w:ind w:left="720" w:hanging="360"/>
      </w:pPr>
      <w:rPr>
        <w:u w:val="none"/>
      </w:rPr>
    </w:lvl>
    <w:lvl w:ilvl="1" w:tentative="1">
      <w:start w:val="1"/>
      <w:numFmt w:val="upperLetter"/>
      <w:lvlText w:val="%2."/>
      <w:lvlJc w:val="left"/>
      <w:pPr>
        <w:ind w:left="1440" w:hanging="360"/>
      </w:pPr>
      <w:rPr>
        <w:u w:val="none"/>
      </w:rPr>
    </w:lvl>
    <w:lvl w:ilvl="2" w:tentative="1">
      <w:start w:val="1"/>
      <w:numFmt w:val="decimal"/>
      <w:lvlText w:val="%3."/>
      <w:lvlJc w:val="left"/>
      <w:pPr>
        <w:ind w:left="2160" w:hanging="360"/>
      </w:pPr>
      <w:rPr>
        <w:u w:val="none"/>
      </w:rPr>
    </w:lvl>
    <w:lvl w:ilvl="3" w:tentative="1">
      <w:start w:val="1"/>
      <w:numFmt w:val="lowerLetter"/>
      <w:lvlText w:val="%4)"/>
      <w:lvlJc w:val="left"/>
      <w:pPr>
        <w:ind w:left="2880" w:hanging="360"/>
      </w:pPr>
      <w:rPr>
        <w:u w:val="none"/>
      </w:rPr>
    </w:lvl>
    <w:lvl w:ilvl="4" w:tentative="1">
      <w:start w:val="1"/>
      <w:numFmt w:val="decimal"/>
      <w:lvlText w:val="(%5)"/>
      <w:lvlJc w:val="left"/>
      <w:pPr>
        <w:ind w:left="3600" w:hanging="360"/>
      </w:pPr>
      <w:rPr>
        <w:u w:val="none"/>
      </w:rPr>
    </w:lvl>
    <w:lvl w:ilvl="5" w:tentative="1">
      <w:start w:val="1"/>
      <w:numFmt w:val="lowerLetter"/>
      <w:lvlText w:val="(%6)"/>
      <w:lvlJc w:val="left"/>
      <w:pPr>
        <w:ind w:left="4320" w:hanging="360"/>
      </w:pPr>
      <w:rPr>
        <w:u w:val="none"/>
      </w:rPr>
    </w:lvl>
    <w:lvl w:ilvl="6" w:tentative="1">
      <w:start w:val="1"/>
      <w:numFmt w:val="lowerRoman"/>
      <w:lvlText w:val="(%7)"/>
      <w:lvlJc w:val="right"/>
      <w:pPr>
        <w:ind w:left="5040" w:hanging="360"/>
      </w:pPr>
      <w:rPr>
        <w:u w:val="none"/>
      </w:rPr>
    </w:lvl>
    <w:lvl w:ilvl="7" w:tentative="1">
      <w:start w:val="1"/>
      <w:numFmt w:val="lowerLetter"/>
      <w:lvlText w:val="(%8)"/>
      <w:lvlJc w:val="left"/>
      <w:pPr>
        <w:ind w:left="5760" w:hanging="360"/>
      </w:pPr>
      <w:rPr>
        <w:u w:val="none"/>
      </w:rPr>
    </w:lvl>
    <w:lvl w:ilvl="8" w:tentative="1">
      <w:start w:val="1"/>
      <w:numFmt w:val="lowerRoman"/>
      <w:lvlText w:val="(%9)"/>
      <w:lvlJc w:val="right"/>
      <w:pPr>
        <w:ind w:left="6480" w:hanging="360"/>
      </w:pPr>
      <w:rPr>
        <w:u w:val="none"/>
      </w:rPr>
    </w:lvl>
  </w:abstractNum>
  <w:abstractNum w:abstractNumId="1559132956">
    <w:nsid w:val="5CEE7B1C"/>
    <w:multiLevelType w:val="multilevel"/>
    <w:tmpl w:val="5CEE7B1C"/>
    <w:lvl w:ilvl="0" w:tentative="1">
      <w:start w:val="1"/>
      <w:numFmt w:val="upperRoman"/>
      <w:lvlText w:val="%1."/>
      <w:lvlJc w:val="left"/>
      <w:pPr>
        <w:ind w:left="720" w:hanging="360"/>
      </w:pPr>
      <w:rPr>
        <w:b w:val="0"/>
      </w:rPr>
    </w:lvl>
    <w:lvl w:ilvl="1" w:tentative="1">
      <w:start w:val="1"/>
      <w:numFmt w:val="upperRoman"/>
      <w:lvlText w:val="%2."/>
      <w:lvlJc w:val="left"/>
      <w:pPr>
        <w:ind w:left="1080" w:hanging="360"/>
      </w:pPr>
    </w:lvl>
    <w:lvl w:ilvl="2" w:tentative="1">
      <w:start w:val="1"/>
      <w:numFmt w:val="upperRoman"/>
      <w:lvlText w:val="%3."/>
      <w:lvlJc w:val="left"/>
      <w:pPr>
        <w:ind w:left="1440" w:hanging="360"/>
      </w:pPr>
    </w:lvl>
    <w:lvl w:ilvl="3" w:tentative="1">
      <w:start w:val="1"/>
      <w:numFmt w:val="upperRoman"/>
      <w:lvlText w:val="%4."/>
      <w:lvlJc w:val="left"/>
      <w:pPr>
        <w:ind w:left="1800" w:hanging="360"/>
      </w:pPr>
    </w:lvl>
    <w:lvl w:ilvl="4" w:tentative="1">
      <w:start w:val="1"/>
      <w:numFmt w:val="upperRoman"/>
      <w:lvlText w:val="%5."/>
      <w:lvlJc w:val="left"/>
      <w:pPr>
        <w:ind w:left="2160" w:hanging="360"/>
      </w:pPr>
    </w:lvl>
    <w:lvl w:ilvl="5" w:tentative="1">
      <w:start w:val="1"/>
      <w:numFmt w:val="upperRoman"/>
      <w:lvlText w:val="%6."/>
      <w:lvlJc w:val="left"/>
      <w:pPr>
        <w:ind w:left="2520" w:hanging="360"/>
      </w:pPr>
    </w:lvl>
    <w:lvl w:ilvl="6" w:tentative="1">
      <w:start w:val="1"/>
      <w:numFmt w:val="upperRoman"/>
      <w:lvlText w:val="%7."/>
      <w:lvlJc w:val="left"/>
      <w:pPr>
        <w:ind w:left="2880" w:hanging="360"/>
      </w:pPr>
    </w:lvl>
    <w:lvl w:ilvl="7" w:tentative="1">
      <w:start w:val="1"/>
      <w:numFmt w:val="upperRoman"/>
      <w:lvlText w:val="%8."/>
      <w:lvlJc w:val="left"/>
      <w:pPr>
        <w:ind w:left="3240" w:hanging="360"/>
      </w:pPr>
    </w:lvl>
    <w:lvl w:ilvl="8" w:tentative="1">
      <w:start w:val="1"/>
      <w:numFmt w:val="upperRoman"/>
      <w:lvlText w:val="%9."/>
      <w:lvlJc w:val="left"/>
      <w:pPr>
        <w:ind w:left="3600" w:hanging="360"/>
      </w:pPr>
    </w:lvl>
  </w:abstractNum>
  <w:abstractNum w:abstractNumId="1559132945">
    <w:nsid w:val="5CEE7B11"/>
    <w:multiLevelType w:val="multilevel"/>
    <w:tmpl w:val="5CEE7B11"/>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59132923"/>
  </w:num>
  <w:num w:numId="2">
    <w:abstractNumId w:val="1559132934"/>
  </w:num>
  <w:num w:numId="3">
    <w:abstractNumId w:val="1559132945"/>
  </w:num>
  <w:num w:numId="4">
    <w:abstractNumId w:val="1559132956"/>
  </w:num>
  <w:num w:numId="5">
    <w:abstractNumId w:val="15591329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1FBFFD0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alibri" w:hAnsi="Calibri" w:eastAsia="Calibri" w:cs="Calibri"/>
      <w:sz w:val="24"/>
      <w:szCs w:val="24"/>
      <w:lang w:val="pt-BR"/>
    </w:rPr>
  </w:style>
  <w:style w:type="paragraph" w:styleId="2">
    <w:name w:val="heading 1"/>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432" w:right="0" w:hanging="432"/>
      <w:jc w:val="left"/>
    </w:pPr>
    <w:rPr>
      <w:rFonts w:ascii="Arial" w:hAnsi="Arial" w:eastAsia="Arial" w:cs="Arial"/>
      <w:b/>
      <w:color w:val="000000"/>
      <w:sz w:val="36"/>
      <w:szCs w:val="36"/>
      <w:u w:val="none"/>
      <w:shd w:val="clear" w:fill="auto"/>
      <w:vertAlign w:val="baseline"/>
    </w:rPr>
  </w:style>
  <w:style w:type="paragraph" w:styleId="3">
    <w:name w:val="heading 2"/>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120" w:line="240" w:lineRule="auto"/>
      <w:ind w:left="576" w:right="0" w:hanging="576"/>
      <w:jc w:val="left"/>
    </w:pPr>
    <w:rPr>
      <w:rFonts w:ascii="Arial" w:hAnsi="Arial" w:eastAsia="Arial" w:cs="Arial"/>
      <w:b/>
      <w:color w:val="000000"/>
      <w:sz w:val="32"/>
      <w:szCs w:val="32"/>
      <w:u w:val="none"/>
      <w:shd w:val="clear" w:fill="auto"/>
      <w:vertAlign w:val="baseline"/>
    </w:rPr>
  </w:style>
  <w:style w:type="paragraph" w:styleId="4">
    <w:name w:val="heading 3"/>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140" w:after="120" w:line="240" w:lineRule="auto"/>
      <w:ind w:left="720" w:right="0" w:hanging="720"/>
      <w:jc w:val="left"/>
    </w:pPr>
    <w:rPr>
      <w:rFonts w:ascii="Arial" w:hAnsi="Arial" w:eastAsia="Arial" w:cs="Arial"/>
      <w:b/>
      <w:color w:val="000000"/>
      <w:sz w:val="28"/>
      <w:szCs w:val="28"/>
      <w:u w:val="none"/>
      <w:shd w:val="clear" w:fill="auto"/>
      <w:vertAlign w:val="baseline"/>
    </w:rPr>
  </w:style>
  <w:style w:type="paragraph" w:styleId="5">
    <w:name w:val="heading 4"/>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left"/>
    </w:pPr>
    <w:rPr>
      <w:rFonts w:ascii="Calibri" w:hAnsi="Calibri" w:eastAsia="Calibri" w:cs="Calibri"/>
      <w:b/>
      <w:color w:val="000000"/>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i/>
      <w:color w:val="000000"/>
      <w:sz w:val="28"/>
      <w:szCs w:val="28"/>
      <w:u w:val="none"/>
      <w:shd w:val="clear" w:fill="auto"/>
      <w:vertAlign w:val="baseline"/>
    </w:rPr>
  </w:style>
  <w:style w:type="paragraph" w:styleId="9">
    <w:name w:val="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b/>
      <w:color w:val="000000"/>
      <w:sz w:val="56"/>
      <w:szCs w:val="56"/>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2019-05-29T09:26:40Z</dcterms:created>
  <dc:creator>cristiane.a-ferreira</dc:creator>
  <cp:lastModifiedBy>cristiane.a-ferreira</cp:lastModifiedBy>
  <dcterms:modified xsi:type="dcterms:W3CDTF">2019-05-29T09:27:30Z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