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Monitorar</w:t>
      </w:r>
      <w:r w:rsidDel="00000000" w:rsidR="00000000" w:rsidRPr="00000000">
        <w:rPr>
          <w:sz w:val="24"/>
          <w:szCs w:val="24"/>
          <w:rtl w:val="0"/>
        </w:rPr>
        <w:t xml:space="preserve"> a </w:t>
      </w:r>
      <w:r w:rsidDel="00000000" w:rsidR="00000000" w:rsidRPr="00000000">
        <w:rPr>
          <w:sz w:val="24"/>
          <w:szCs w:val="24"/>
          <w:rtl w:val="0"/>
        </w:rPr>
        <w:t xml:space="preserve">atualização mensal das seções específicas constantes na página de Acesso à Informação da entidade, em cumprimento à Lei Estadual nº 14.804/2012, ao Decreto Estadual nº 38.787/2012 e aos requisitos da Portaria nº 09/2017 da Secretaria da Controladoria-Geral do Estado. </w:t>
      </w:r>
    </w:p>
    <w:p w:rsidR="00000000" w:rsidDel="00000000" w:rsidP="00000000" w:rsidRDefault="00000000" w:rsidRPr="00000000" w14:paraId="00000003">
      <w:pPr>
        <w:spacing w:after="1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Aplicação</w:t>
      </w:r>
    </w:p>
    <w:p w:rsidR="00000000" w:rsidDel="00000000" w:rsidP="00000000" w:rsidRDefault="00000000" w:rsidRPr="00000000" w14:paraId="00000005">
      <w:pPr>
        <w:spacing w:after="1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documento é aplicável às Unidades de Controle Interno pertencentes aos órgãos e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entidades da Administração Pública do Poder Executivo Estadual.</w:t>
      </w:r>
    </w:p>
    <w:p w:rsidR="00000000" w:rsidDel="00000000" w:rsidP="00000000" w:rsidRDefault="00000000" w:rsidRPr="00000000" w14:paraId="00000006">
      <w:pPr>
        <w:spacing w:after="1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Definições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Autoridade de Monitoramento</w:t>
      </w:r>
      <w:r w:rsidDel="00000000" w:rsidR="00000000" w:rsidRPr="00000000">
        <w:rPr>
          <w:sz w:val="24"/>
          <w:szCs w:val="24"/>
          <w:rtl w:val="0"/>
        </w:rPr>
        <w:t xml:space="preserve"> - Agente público nomeado por portaria, pelo gestor máximo do órgão ou entidade do poder executivo estadual, para monitorar o cumprimento da Lei Nº 14.804/2012 (Lei de Acesso à Informação), quanto a qualidade e prazo das respostas aos pedidos de acesso à informação e a disponibilização atualizada das informações organizacionais obrigatórias da entidade no site da LAI (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www.lai.pe.gov.br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LAI</w:t>
      </w:r>
      <w:r w:rsidDel="00000000" w:rsidR="00000000" w:rsidRPr="00000000">
        <w:rPr>
          <w:sz w:val="24"/>
          <w:szCs w:val="24"/>
          <w:rtl w:val="0"/>
        </w:rPr>
        <w:t xml:space="preserve"> - Lei de Acesso à Informação.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Página da LAI</w:t>
      </w:r>
      <w:r w:rsidDel="00000000" w:rsidR="00000000" w:rsidRPr="00000000">
        <w:rPr>
          <w:sz w:val="24"/>
          <w:szCs w:val="24"/>
          <w:rtl w:val="0"/>
        </w:rPr>
        <w:t xml:space="preserve"> - Página da internet disponibilizada pelo governo do Estado aos órgãos e entidades pertencentes ao poder executivo estadual, em cumprimento à Lei de Acesso à Informação.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SCGE </w:t>
      </w:r>
      <w:r w:rsidDel="00000000" w:rsidR="00000000" w:rsidRPr="00000000">
        <w:rPr>
          <w:sz w:val="24"/>
          <w:szCs w:val="24"/>
          <w:rtl w:val="0"/>
        </w:rPr>
        <w:t xml:space="preserve">- Secretaria da Controladoria-Geral do Estado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Seção</w:t>
      </w:r>
      <w:r w:rsidDel="00000000" w:rsidR="00000000" w:rsidRPr="00000000">
        <w:rPr>
          <w:sz w:val="24"/>
          <w:szCs w:val="24"/>
          <w:rtl w:val="0"/>
        </w:rPr>
        <w:t xml:space="preserve"> - Aba localizada na posição esquerda superior da página de acesso à informação que identifica a natureza da informação (Institucional, Estrutura Organizacional, Competências, Quem é Quem, Horário de Atendimento, Ações e Programas, Auditorias, Convênios, Execução Orçamentária e Financeira, Licitações, Contratos, Servidores, Perguntas Frequentes, Serviço de Informação ao Cidadão, Sobre a LAI, Informações Classificadas).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Setor Responsável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Setor que fornece à autoridade de monitoramento informações referentes ao mapa de contratos, mapa de convênios, mapa de viagens e diárias, mapa de quantitativo de servidores (efetivos, comissionados e funções gratificadas) e mapa demonstrativo de terceirizados. Setor responsável também por fornecer qualquer outra informação solicitada por aquela autoridade para atualizar as seções que não necessitam de atualização mensal.</w:t>
      </w:r>
    </w:p>
    <w:p w:rsidR="00000000" w:rsidDel="00000000" w:rsidP="00000000" w:rsidRDefault="00000000" w:rsidRPr="00000000" w14:paraId="0000000E">
      <w:pPr>
        <w:spacing w:after="10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UCI </w:t>
      </w:r>
      <w:r w:rsidDel="00000000" w:rsidR="00000000" w:rsidRPr="00000000">
        <w:rPr>
          <w:sz w:val="24"/>
          <w:szCs w:val="24"/>
          <w:rtl w:val="0"/>
        </w:rPr>
        <w:t xml:space="preserve">- Unidade de Controle Interno</w:t>
      </w:r>
    </w:p>
    <w:p w:rsidR="00000000" w:rsidDel="00000000" w:rsidP="00000000" w:rsidRDefault="00000000" w:rsidRPr="00000000" w14:paraId="0000000F">
      <w:pPr>
        <w:spacing w:after="1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Descrição</w:t>
      </w:r>
    </w:p>
    <w:p w:rsidR="00000000" w:rsidDel="00000000" w:rsidP="00000000" w:rsidRDefault="00000000" w:rsidRPr="00000000" w14:paraId="00000013">
      <w:pPr>
        <w:spacing w:after="227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mapeamento do processo referente ao monitoramento da atualização das informações das entidades públicas estaduais na página da LAI, em decorrência da observância legal da Lei Estadual nº 14.804/2012, do Decreto Estadual nº 38.787/2012 e da Portaria nº 09/2017, se dá pela necessidade de estabelecimento de pontos de controle que permitam um atendimento mais efetivo das legislações vigentes.</w:t>
      </w:r>
    </w:p>
    <w:p w:rsidR="00000000" w:rsidDel="00000000" w:rsidP="00000000" w:rsidRDefault="00000000" w:rsidRPr="00000000" w14:paraId="00000014">
      <w:pPr>
        <w:spacing w:after="227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Atividade 1: Monitorar atualização da página da LAI</w:t>
      </w:r>
    </w:p>
    <w:p w:rsidR="00000000" w:rsidDel="00000000" w:rsidP="00000000" w:rsidRDefault="00000000" w:rsidRPr="00000000" w14:paraId="00000015">
      <w:pPr>
        <w:spacing w:after="227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15º dia útil de cada mês (Prazo sugerido pela Coordenadoria das Ações de Controle Interno, podendo ser modificado, para adequar-se às especificidades de cada unidade), utilizando o checklist de monitoramento da página da LAI, a Unidade de Controle Interno, analisa se as seções específicas da página de acesso à informação (LAI) estão atualizadas. Serão analisadas tanto as seções que não necessitam de atualização mensal (“Institucional”, “Estrutura Organizacional”, “Competências”, “Horários de Atendimento”, “Ações e Programas”, “Auditorias”, “Perguntas Frequentes”, “Serviço de Informação ao Cidadão”, “Sobre a Lei de Acesso à Informação” e “Informações Classificadas”), como também as seções específicas que necessitam de atualização mensal </w:t>
      </w:r>
      <w:r w:rsidDel="00000000" w:rsidR="00000000" w:rsidRPr="00000000">
        <w:rPr>
          <w:sz w:val="24"/>
          <w:szCs w:val="24"/>
          <w:rtl w:val="0"/>
        </w:rPr>
        <w:t xml:space="preserve">(“Quem é Quem”</w:t>
      </w:r>
      <w:r w:rsidDel="00000000" w:rsidR="00000000" w:rsidRPr="00000000">
        <w:rPr>
          <w:sz w:val="24"/>
          <w:szCs w:val="24"/>
          <w:rtl w:val="0"/>
        </w:rPr>
        <w:t xml:space="preserve">, “Convênios”, “Execução Orçamentária e Financeira”, “Contratos” e “Servidores”). Não necessitando de ajustes, a Unidade de Controle Interno atualiza a planilha de monitoramento, inserindo a denominação “ATUALIZADA” nas seções específicas da planilha e o processo se encerra nesta fase. Havendo a necessidade de ajustes o processo passa para a atividade seguinte.</w:t>
      </w:r>
    </w:p>
    <w:p w:rsidR="00000000" w:rsidDel="00000000" w:rsidP="00000000" w:rsidRDefault="00000000" w:rsidRPr="00000000" w14:paraId="00000016">
      <w:pPr>
        <w:spacing w:after="227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Atividade 2: Informar Pendências</w:t>
      </w:r>
    </w:p>
    <w:p w:rsidR="00000000" w:rsidDel="00000000" w:rsidP="00000000" w:rsidRDefault="00000000" w:rsidRPr="00000000" w14:paraId="00000017">
      <w:pPr>
        <w:spacing w:after="227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Após verificar todos os pontos que ainda não foram atualizados, a unidade de controle interno insere as informações “DESATUALIZADA”, “ERRO” ou “VAZIO” nas seções específicas da planilha de monitoramento e solicita a atualização dessas seções à autoridade de monitoramento.</w:t>
      </w:r>
    </w:p>
    <w:p w:rsidR="00000000" w:rsidDel="00000000" w:rsidP="00000000" w:rsidRDefault="00000000" w:rsidRPr="00000000" w14:paraId="00000018">
      <w:pPr>
        <w:spacing w:after="227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Atividade 3: Solicitar Informações</w:t>
      </w:r>
    </w:p>
    <w:p w:rsidR="00000000" w:rsidDel="00000000" w:rsidP="00000000" w:rsidRDefault="00000000" w:rsidRPr="00000000" w14:paraId="00000019">
      <w:pPr>
        <w:spacing w:after="227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a relação de pendências na planilha de monitoramento, a autoridade de monitoramento solicita ao setor responsável as informações necessárias para a atualização da página da LAI.</w:t>
      </w:r>
    </w:p>
    <w:p w:rsidR="00000000" w:rsidDel="00000000" w:rsidP="00000000" w:rsidRDefault="00000000" w:rsidRPr="00000000" w14:paraId="0000001A">
      <w:pPr>
        <w:spacing w:after="227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Atividade 4: Encaminhar Informações</w:t>
      </w:r>
    </w:p>
    <w:p w:rsidR="00000000" w:rsidDel="00000000" w:rsidP="00000000" w:rsidRDefault="00000000" w:rsidRPr="00000000" w14:paraId="0000001B">
      <w:pPr>
        <w:spacing w:after="227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setor responsável reúne todas  as informações solicitadas e as envia à autoridade de monitoramento. </w:t>
      </w:r>
    </w:p>
    <w:p w:rsidR="00000000" w:rsidDel="00000000" w:rsidP="00000000" w:rsidRDefault="00000000" w:rsidRPr="00000000" w14:paraId="0000001C">
      <w:pPr>
        <w:spacing w:after="227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Atividade 5: Atualizar a página da LAI</w:t>
      </w:r>
    </w:p>
    <w:p w:rsidR="00000000" w:rsidDel="00000000" w:rsidP="00000000" w:rsidRDefault="00000000" w:rsidRPr="00000000" w14:paraId="0000001D">
      <w:pPr>
        <w:spacing w:after="227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autoridade de monitoramento recebe as informações encaminhadas pelo Setor Responsável e atualiza as informações na página da LAI. Paralelamente, a autoridade de monitoramento informa à UCI sobre a atualização das informações. Para mais informações sobre o procedimento específico de inserção de dados no site da LAI (passo a passo, senha de acesso, entre outros), entrar em contato com a Coordenadoria das Ações de Transparência e Gestão - CTG, da Secretaria da Controladoria-Geral do Estado, através dos canais: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(81) 3183-0858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27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transparencia@cge.pe.gov.br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27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Atividade 6: Verificar correções</w:t>
      </w:r>
    </w:p>
    <w:p w:rsidR="00000000" w:rsidDel="00000000" w:rsidP="00000000" w:rsidRDefault="00000000" w:rsidRPr="00000000" w14:paraId="00000021">
      <w:pPr>
        <w:spacing w:after="227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Após ser informada da atualização da página da LAI pela autoridade de monitoramento, a unidade de controle interno faz uma nova verificação se todos os pontos desatualizados foram atualizados. </w:t>
      </w:r>
    </w:p>
    <w:p w:rsidR="00000000" w:rsidDel="00000000" w:rsidP="00000000" w:rsidRDefault="00000000" w:rsidRPr="00000000" w14:paraId="00000022">
      <w:pPr>
        <w:spacing w:after="227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Atividade 7: Atualizar planilha de monitoramento</w:t>
      </w:r>
    </w:p>
    <w:p w:rsidR="00000000" w:rsidDel="00000000" w:rsidP="00000000" w:rsidRDefault="00000000" w:rsidRPr="00000000" w14:paraId="00000023">
      <w:pPr>
        <w:spacing w:after="227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Após a verificação, a unidade de controle interno atualiza a planilha de monitoramento, inserindo a informação “ATUALIZADA” nos pontos atualizados pela autoridade de monitoramento, e encerra 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Responsabilidade e Autoridade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Autoridade de Monitoramento: Realizar todas as rotinas de execução de atualização da página da LAI, solicitar os mapas e informações ao Setor Responsável;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Setor Responsável: </w:t>
      </w:r>
      <w:r w:rsidDel="00000000" w:rsidR="00000000" w:rsidRPr="00000000">
        <w:rPr>
          <w:sz w:val="24"/>
          <w:szCs w:val="24"/>
          <w:rtl w:val="0"/>
        </w:rPr>
        <w:t xml:space="preserve">Compete a este setor encaminhar todas as informações necessárias para a atualização da página da lei de acesso à informação.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Unidade de Controle Interno: Compete monitorar a atualização da página da LAI e solicitar os ajustes necessários à autoridade de monitoramento.</w:t>
      </w:r>
    </w:p>
    <w:p w:rsidR="00000000" w:rsidDel="00000000" w:rsidP="00000000" w:rsidRDefault="00000000" w:rsidRPr="00000000" w14:paraId="0000002A">
      <w:pPr>
        <w:spacing w:after="57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Informações Complementares</w:t>
      </w:r>
    </w:p>
    <w:p w:rsidR="00000000" w:rsidDel="00000000" w:rsidP="00000000" w:rsidRDefault="00000000" w:rsidRPr="00000000" w14:paraId="0000002C">
      <w:pPr>
        <w:spacing w:after="57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Sugerimos que o setor responsável disponibilize as informações à autoridade de monitoramento até o 5º dia útil de cada mês e que a autoridade de monitoramento atualize a página de acesso à informação até o 10º dia útil. </w:t>
      </w:r>
      <w:r w:rsidDel="00000000" w:rsidR="00000000" w:rsidRPr="00000000">
        <w:rPr>
          <w:sz w:val="24"/>
          <w:szCs w:val="24"/>
          <w:rtl w:val="0"/>
        </w:rPr>
        <w:t xml:space="preserve">Como o monitoramento realizado pela SCGE, determinado pela Portaria nº 09/2017 em seu Art.5</w:t>
      </w:r>
      <w:r w:rsidDel="00000000" w:rsidR="00000000" w:rsidRPr="00000000">
        <w:rPr>
          <w:sz w:val="24"/>
          <w:szCs w:val="24"/>
          <w:rtl w:val="0"/>
        </w:rPr>
        <w:t xml:space="preserve">º, </w:t>
      </w:r>
      <w:r w:rsidDel="00000000" w:rsidR="00000000" w:rsidRPr="00000000">
        <w:rPr>
          <w:sz w:val="24"/>
          <w:szCs w:val="24"/>
          <w:rtl w:val="0"/>
        </w:rPr>
        <w:t xml:space="preserve">será bimestral,</w:t>
      </w:r>
      <w:r w:rsidDel="00000000" w:rsidR="00000000" w:rsidRPr="00000000">
        <w:rPr>
          <w:sz w:val="24"/>
          <w:szCs w:val="24"/>
          <w:rtl w:val="0"/>
        </w:rPr>
        <w:t xml:space="preserve"> sugerimos um monitoramento periódico pela unidade de controle interno, que deverá ser realizado ao final de cada mês. </w:t>
      </w:r>
    </w:p>
    <w:p w:rsidR="00000000" w:rsidDel="00000000" w:rsidP="00000000" w:rsidRDefault="00000000" w:rsidRPr="00000000" w14:paraId="0000002D">
      <w:pPr>
        <w:spacing w:after="57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do monitoramento da atualização da página da LAI, sugerimos que a unidade de controle interno monitore as notificações encaminhadas pela SCGE no caso de desatualização da página, considerando o processo mapeado por esta Coordenadoria de Demandas de Órgãos de Controle.</w:t>
      </w:r>
    </w:p>
    <w:p w:rsidR="00000000" w:rsidDel="00000000" w:rsidP="00000000" w:rsidRDefault="00000000" w:rsidRPr="00000000" w14:paraId="0000002E">
      <w:pPr>
        <w:spacing w:after="57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57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Outra atividade que deve ser monitorada pela unidade de controle interno é o  encaminhamento à SCGE, pela autoridade de monitoramento, dos relatórios trimestrais exigidos no Art. 44, inciso II, do Decreto Estadual nº 38.787/2012.</w:t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</w:t>
      </w:r>
      <w:r w:rsidDel="00000000" w:rsidR="00000000" w:rsidRPr="00000000">
        <w:rPr>
          <w:b w:val="1"/>
          <w:sz w:val="24"/>
          <w:szCs w:val="24"/>
          <w:rtl w:val="0"/>
        </w:rPr>
        <w:t xml:space="preserve">Fluxograma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734050" cy="3340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2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Indicadores do Processo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27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se aplica.</w:t>
      </w:r>
    </w:p>
    <w:p w:rsidR="00000000" w:rsidDel="00000000" w:rsidP="00000000" w:rsidRDefault="00000000" w:rsidRPr="00000000" w14:paraId="00000036">
      <w:pPr>
        <w:spacing w:after="22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Registros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27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Planilha de Quantitativo de Servidores;</w:t>
      </w:r>
    </w:p>
    <w:p w:rsidR="00000000" w:rsidDel="00000000" w:rsidP="00000000" w:rsidRDefault="00000000" w:rsidRPr="00000000" w14:paraId="00000038">
      <w:pPr>
        <w:spacing w:after="227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Mapa de Monitoramento - Gestão de Contratos;</w:t>
      </w:r>
    </w:p>
    <w:p w:rsidR="00000000" w:rsidDel="00000000" w:rsidP="00000000" w:rsidRDefault="00000000" w:rsidRPr="00000000" w14:paraId="00000039">
      <w:pPr>
        <w:spacing w:after="227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8.3 Mapa de Viagens e Diárias;</w:t>
      </w:r>
    </w:p>
    <w:p w:rsidR="00000000" w:rsidDel="00000000" w:rsidP="00000000" w:rsidRDefault="00000000" w:rsidRPr="00000000" w14:paraId="0000003A">
      <w:pPr>
        <w:spacing w:after="227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8.4 Mapa de Terceirizados:</w:t>
      </w:r>
    </w:p>
    <w:p w:rsidR="00000000" w:rsidDel="00000000" w:rsidP="00000000" w:rsidRDefault="00000000" w:rsidRPr="00000000" w14:paraId="0000003B">
      <w:pPr>
        <w:spacing w:after="227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8.5 Mapa de Convênios.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27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8.6 Checklist de Monitoramento da Página da LAI</w:t>
      </w:r>
    </w:p>
    <w:p w:rsidR="00000000" w:rsidDel="00000000" w:rsidP="00000000" w:rsidRDefault="00000000" w:rsidRPr="00000000" w14:paraId="0000003D">
      <w:pPr>
        <w:spacing w:after="227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27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Histórico de Alterações</w:t>
      </w:r>
    </w:p>
    <w:tbl>
      <w:tblPr>
        <w:tblStyle w:val="Table1"/>
        <w:tblW w:w="9765.0" w:type="dxa"/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1500"/>
        <w:gridCol w:w="1350"/>
        <w:gridCol w:w="6915"/>
        <w:tblGridChange w:id="0">
          <w:tblGrid>
            <w:gridCol w:w="1500"/>
            <w:gridCol w:w="1350"/>
            <w:gridCol w:w="6915"/>
          </w:tblGrid>
        </w:tblGridChange>
      </w:tblGrid>
      <w:tr>
        <w:trPr>
          <w:trHeight w:val="560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57" w:before="57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57" w:before="57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Versão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57" w:before="57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</w:t>
            </w:r>
          </w:p>
        </w:tc>
      </w:tr>
      <w:tr>
        <w:trPr>
          <w:trHeight w:val="560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57" w:before="57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31/10/2019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57" w:before="57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57" w:before="57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Emissão inicial</w:t>
            </w:r>
          </w:p>
        </w:tc>
      </w:tr>
    </w:tbl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widowControl w:val="0"/>
      <w:rPr>
        <w:color w:val="00000a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3"/>
      <w:tblW w:w="9751.0" w:type="dxa"/>
      <w:jc w:val="left"/>
      <w:tblInd w:w="-62.0" w:type="dxa"/>
      <w:tblBorders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  <w:insideH w:color="00000a" w:space="0" w:sz="4" w:val="single"/>
        <w:insideV w:color="00000a" w:space="0" w:sz="4" w:val="single"/>
      </w:tblBorders>
      <w:tblLayout w:type="fixed"/>
      <w:tblLook w:val="0000"/>
    </w:tblPr>
    <w:tblGrid>
      <w:gridCol w:w="4875"/>
      <w:gridCol w:w="4876"/>
      <w:tblGridChange w:id="0">
        <w:tblGrid>
          <w:gridCol w:w="4875"/>
          <w:gridCol w:w="4876"/>
        </w:tblGrid>
      </w:tblGridChange>
    </w:tblGrid>
    <w:tr>
      <w:tc>
        <w:tcPr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ffffff" w:val="clear"/>
          <w:vAlign w:val="center"/>
        </w:tcPr>
        <w:p w:rsidR="00000000" w:rsidDel="00000000" w:rsidP="00000000" w:rsidRDefault="00000000" w:rsidRPr="00000000" w14:paraId="00000052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color w:val="00000a"/>
              <w:sz w:val="24"/>
              <w:szCs w:val="24"/>
            </w:rPr>
          </w:pPr>
          <w:r w:rsidDel="00000000" w:rsidR="00000000" w:rsidRPr="00000000">
            <w:rPr>
              <w:color w:val="00000a"/>
              <w:sz w:val="24"/>
              <w:szCs w:val="24"/>
              <w:rtl w:val="0"/>
            </w:rPr>
            <w:t xml:space="preserve">Elaboração: _______________________</w:t>
          </w:r>
        </w:p>
        <w:p w:rsidR="00000000" w:rsidDel="00000000" w:rsidP="00000000" w:rsidRDefault="00000000" w:rsidRPr="00000000" w14:paraId="00000053">
          <w:pPr>
            <w:tabs>
              <w:tab w:val="left" w:pos="1985"/>
              <w:tab w:val="left" w:pos="2100"/>
              <w:tab w:val="center" w:pos="4252"/>
              <w:tab w:val="right" w:pos="8504"/>
            </w:tabs>
            <w:spacing w:line="240" w:lineRule="auto"/>
            <w:jc w:val="center"/>
            <w:rPr>
              <w:color w:val="00000a"/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                      Jeison Silva  - CCI</w:t>
          </w:r>
          <w:r w:rsidDel="00000000" w:rsidR="00000000" w:rsidRPr="00000000">
            <w:rPr>
              <w:color w:val="00000a"/>
              <w:sz w:val="24"/>
              <w:szCs w:val="24"/>
              <w:rtl w:val="0"/>
            </w:rPr>
            <w:t xml:space="preserve">      </w:t>
          </w:r>
        </w:p>
      </w:tc>
      <w:tc>
        <w:tcPr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ffffff" w:val="clear"/>
          <w:vAlign w:val="center"/>
        </w:tcPr>
        <w:p w:rsidR="00000000" w:rsidDel="00000000" w:rsidP="00000000" w:rsidRDefault="00000000" w:rsidRPr="00000000" w14:paraId="00000054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color w:val="00000a"/>
              <w:sz w:val="24"/>
              <w:szCs w:val="24"/>
            </w:rPr>
          </w:pPr>
          <w:r w:rsidDel="00000000" w:rsidR="00000000" w:rsidRPr="00000000">
            <w:rPr>
              <w:color w:val="00000a"/>
              <w:sz w:val="24"/>
              <w:szCs w:val="24"/>
              <w:rtl w:val="0"/>
            </w:rPr>
            <w:t xml:space="preserve">Aprovação: ________________________</w:t>
          </w:r>
        </w:p>
        <w:p w:rsidR="00000000" w:rsidDel="00000000" w:rsidP="00000000" w:rsidRDefault="00000000" w:rsidRPr="00000000" w14:paraId="00000055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color w:val="00000a"/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                     Cristiana Borges – CCI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tabs>
        <w:tab w:val="center" w:pos="4252"/>
        <w:tab w:val="right" w:pos="8504"/>
      </w:tabs>
      <w:spacing w:line="240" w:lineRule="auto"/>
      <w:jc w:val="both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widowControl w:val="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924.0" w:type="dxa"/>
      <w:jc w:val="left"/>
      <w:tblInd w:w="-263.0" w:type="dxa"/>
      <w:tblBorders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  <w:insideH w:color="00000a" w:space="0" w:sz="4" w:val="single"/>
        <w:insideV w:color="00000a" w:space="0" w:sz="4" w:val="single"/>
      </w:tblBorders>
      <w:tblLayout w:type="fixed"/>
      <w:tblLook w:val="0000"/>
    </w:tblPr>
    <w:tblGrid>
      <w:gridCol w:w="2610"/>
      <w:gridCol w:w="4470"/>
      <w:gridCol w:w="1425"/>
      <w:gridCol w:w="1419"/>
      <w:tblGridChange w:id="0">
        <w:tblGrid>
          <w:gridCol w:w="2610"/>
          <w:gridCol w:w="4470"/>
          <w:gridCol w:w="1425"/>
          <w:gridCol w:w="1419"/>
        </w:tblGrid>
      </w:tblGridChange>
    </w:tblGrid>
    <w:tr>
      <w:trPr>
        <w:trHeight w:val="540" w:hRule="atLeast"/>
      </w:trPr>
      <w:tc>
        <w:tcPr>
          <w:vMerge w:val="restart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ffffff" w:val="clear"/>
          <w:vAlign w:val="center"/>
        </w:tcPr>
        <w:p w:rsidR="00000000" w:rsidDel="00000000" w:rsidP="00000000" w:rsidRDefault="00000000" w:rsidRPr="00000000" w14:paraId="00000047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</w:rPr>
            <w:drawing>
              <wp:inline distB="114300" distT="114300" distL="114300" distR="114300">
                <wp:extent cx="1543367" cy="655931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367" cy="65593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ffffff" w:val="clear"/>
          <w:vAlign w:val="center"/>
        </w:tcPr>
        <w:p w:rsidR="00000000" w:rsidDel="00000000" w:rsidP="00000000" w:rsidRDefault="00000000" w:rsidRPr="00000000" w14:paraId="00000048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Monitoramento da Atualização da Página da LAI</w:t>
          </w:r>
        </w:p>
      </w:tc>
      <w:tc>
        <w:tcPr>
          <w:gridSpan w:val="2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ffffff" w:val="clear"/>
          <w:vAlign w:val="center"/>
        </w:tcPr>
        <w:p w:rsidR="00000000" w:rsidDel="00000000" w:rsidP="00000000" w:rsidRDefault="00000000" w:rsidRPr="00000000" w14:paraId="00000049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PRC - UCI - 03-00</w:t>
          </w:r>
          <w:r w:rsidDel="00000000" w:rsidR="00000000" w:rsidRPr="00000000">
            <w:rPr>
              <w:rtl w:val="0"/>
            </w:rPr>
          </w:r>
        </w:p>
      </w:tc>
    </w:tr>
    <w:tr>
      <w:trPr>
        <w:trHeight w:val="700" w:hRule="atLeast"/>
      </w:trPr>
      <w:tc>
        <w:tcPr>
          <w:vMerge w:val="continue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ffffff" w:val="clear"/>
          <w:vAlign w:val="center"/>
        </w:tcPr>
        <w:p w:rsidR="00000000" w:rsidDel="00000000" w:rsidP="00000000" w:rsidRDefault="00000000" w:rsidRPr="00000000" w14:paraId="0000004B">
          <w:pPr>
            <w:widowControl w:val="0"/>
            <w:rPr>
              <w:rFonts w:ascii="Times New Roman" w:cs="Times New Roman" w:eastAsia="Times New Roman" w:hAnsi="Times New Roman"/>
              <w:color w:val="ce181e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ffffff" w:val="clear"/>
          <w:vAlign w:val="center"/>
        </w:tcPr>
        <w:p w:rsidR="00000000" w:rsidDel="00000000" w:rsidP="00000000" w:rsidRDefault="00000000" w:rsidRPr="00000000" w14:paraId="0000004C">
          <w:pPr>
            <w:widowControl w:val="0"/>
            <w:rPr>
              <w:rFonts w:ascii="Times New Roman" w:cs="Times New Roman" w:eastAsia="Times New Roman" w:hAnsi="Times New Roman"/>
              <w:color w:val="ce181e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ffffff" w:val="clear"/>
          <w:vAlign w:val="center"/>
        </w:tcPr>
        <w:p w:rsidR="00000000" w:rsidDel="00000000" w:rsidP="00000000" w:rsidRDefault="00000000" w:rsidRPr="00000000" w14:paraId="0000004D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Emissão:</w:t>
          </w:r>
        </w:p>
        <w:p w:rsidR="00000000" w:rsidDel="00000000" w:rsidP="00000000" w:rsidRDefault="00000000" w:rsidRPr="00000000" w14:paraId="0000004E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31/10/2019</w:t>
          </w:r>
        </w:p>
      </w:tc>
      <w:tc>
        <w:tcPr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ffffff" w:val="clear"/>
          <w:vAlign w:val="center"/>
        </w:tcPr>
        <w:p w:rsidR="00000000" w:rsidDel="00000000" w:rsidP="00000000" w:rsidRDefault="00000000" w:rsidRPr="00000000" w14:paraId="0000004F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Pág: </w:t>
          </w:r>
          <w:r w:rsidDel="00000000" w:rsidR="00000000" w:rsidRPr="00000000">
            <w:rPr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18"/>
              <w:szCs w:val="18"/>
              <w:rtl w:val="0"/>
            </w:rPr>
            <w:t xml:space="preserve">/</w:t>
          </w:r>
          <w:r w:rsidDel="00000000" w:rsidR="00000000" w:rsidRPr="00000000">
            <w:rPr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0">
    <w:pPr>
      <w:tabs>
        <w:tab w:val="center" w:pos="4252"/>
        <w:tab w:val="right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17.0" w:type="dxa"/>
        <w:bottom w:w="57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lai.pe.gov.br" TargetMode="External"/><Relationship Id="rId7" Type="http://schemas.openxmlformats.org/officeDocument/2006/relationships/hyperlink" Target="mailto:transparencia@cge.pe.gov.br" TargetMode="External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