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Roboto Condensed" w:cs="Roboto Condensed" w:eastAsia="Roboto Condensed" w:hAnsi="Roboto Condensed"/>
          <w:b w:val="1"/>
          <w:i w:val="0"/>
          <w:smallCaps w:val="0"/>
          <w:strike w:val="0"/>
          <w:color w:val="000000"/>
          <w:sz w:val="24"/>
          <w:szCs w:val="24"/>
          <w:highlight w:val="white"/>
          <w:u w:val="none"/>
          <w:vertAlign w:val="baseline"/>
        </w:rPr>
      </w:pPr>
      <w:r w:rsidDel="00000000" w:rsidR="00000000" w:rsidRPr="00000000">
        <w:rPr>
          <w:rFonts w:ascii="Roboto Condensed" w:cs="Roboto Condensed" w:eastAsia="Roboto Condensed" w:hAnsi="Roboto Condensed"/>
          <w:b w:val="1"/>
          <w:i w:val="0"/>
          <w:smallCaps w:val="0"/>
          <w:strike w:val="0"/>
          <w:color w:val="000000"/>
          <w:sz w:val="24"/>
          <w:szCs w:val="24"/>
          <w:highlight w:val="white"/>
          <w:u w:val="none"/>
          <w:vertAlign w:val="baseline"/>
          <w:rtl w:val="0"/>
        </w:rPr>
        <w:t xml:space="preserve">ANEXO III</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Roboto Condensed" w:cs="Roboto Condensed" w:eastAsia="Roboto Condensed" w:hAnsi="Roboto Condensed"/>
          <w:b w:val="1"/>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1"/>
          <w:i w:val="0"/>
          <w:smallCaps w:val="0"/>
          <w:strike w:val="0"/>
          <w:color w:val="000000"/>
          <w:sz w:val="24"/>
          <w:szCs w:val="24"/>
          <w:u w:val="none"/>
          <w:shd w:fill="auto" w:val="clear"/>
          <w:vertAlign w:val="baseline"/>
          <w:rtl w:val="0"/>
        </w:rPr>
        <w:t xml:space="preserve">DECLARAÇÃO DE MEMBRO DA UNIDADE DE CONTROLE INTERNO</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Nome: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CPF nº:</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Formação Acadêmica:</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Endereço Residencial:</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Mandato eletivo exercido nos últimos cinco anos: (_) Não (_) Sim</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(_) Governador ou Vice-governador         (_) Câmara Legislativa do Distrito Federal</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(_) Prefeito ou Vice Prefeito                     (_) Assembleia Legislativa Estadual</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(_) Senado Federal                                    (_) Câmara Municipal</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(_) Câmara dos Deputados</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(_) Outros __________________________</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Cargos, empregos ou funções ocupados nos últimos cinco anos: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Locais de exercício do cargo, emprego ou função nos últimos cinco anos: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Organização para a qual está sendo indicado:</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DECLARO não ter sido responsabilizado, nos últimos 5 (cinco) anos, por ato julgado irregular pelo Tribunal de Contas da União, pelos Tribunais de Contas dos Estados e do Distrito Federal, bem como pelos Tribunais de Contas dos Municípios.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DECLARO não ter sido responsabilizado, nos últimos 5 (cinco) anos, por contas certificadas como irregulares pelos órgãos do Sistema de Controle Interno do Poder Executivo Federal, Estadual ou Municipal, exceto nos casos em que já houver decisão de Tribunal de Contas pela regularidade ou regularidade com ressalvas das contas.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DECLARO não ter sido punido, nos últimos 02 (dois) anos, em decisão da qual não caiba recurso administrativo, em processo disciplinar por ato lesivo ao patrimônio público de qualquer esfera de governo.</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DECLARO não ter sido responsabilizado, nos últimos 08 (oito) anos, pela prática de ato tipificado como causa de inelegibilidade nos termos da Lei Complementar n° 64, de 18 de maio de 1990; ou</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DECLARO não ter sido demitido com a nota “a bem do serviço público”, conforme parágrafo único do Art. 206 da Lei Estadual nº 6123, de 20 de julho de 1968 (e alterações).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Local e data,</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Assinatura</w:t>
      </w:r>
      <w:r w:rsidDel="00000000" w:rsidR="00000000" w:rsidRPr="00000000">
        <w:rPr>
          <w:rtl w:val="0"/>
        </w:rPr>
      </w:r>
    </w:p>
    <w:sectPr>
      <w:headerReference r:id="rId6" w:type="default"/>
      <w:pgSz w:h="16838" w:w="11906"/>
      <w:pgMar w:bottom="1440" w:top="1999" w:left="1440" w:right="1440" w:header="144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1578610</wp:posOffset>
          </wp:positionH>
          <wp:positionV relativeFrom="paragraph">
            <wp:posOffset>-437514</wp:posOffset>
          </wp:positionV>
          <wp:extent cx="2748280" cy="70421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748280" cy="7042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Liberation Serif" w:cs="Liberation Serif" w:eastAsia="Liberation Serif" w:hAnsi="Liberation Serif"/>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Liberation Serif" w:cs="Liberation Serif" w:eastAsia="Liberation Serif" w:hAnsi="Liberation Serif"/>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Liberation Serif" w:cs="Liberation Serif" w:eastAsia="Liberation Serif" w:hAnsi="Liberation Serif"/>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Liberation Serif" w:cs="Liberation Serif" w:eastAsia="Liberation Serif" w:hAnsi="Liberation Serif"/>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Liberation Serif" w:cs="Liberation Serif" w:eastAsia="Liberation Serif" w:hAnsi="Liberation Serif"/>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Liberation Serif" w:cs="Liberation Serif" w:eastAsia="Liberation Serif" w:hAnsi="Liberation Serif"/>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Liberation Serif" w:cs="Liberation Serif" w:eastAsia="Liberation Serif" w:hAnsi="Liberation Serif"/>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